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84" w:rsidRDefault="00871E84" w:rsidP="00871E84">
      <w:pPr>
        <w:pStyle w:val="PlainText"/>
        <w:jc w:val="both"/>
        <w:rPr>
          <w:rFonts w:ascii="Verdana" w:hAnsi="Verdana"/>
          <w:b/>
          <w:sz w:val="24"/>
          <w:u w:val="single"/>
        </w:rPr>
      </w:pPr>
      <w:r>
        <w:rPr>
          <w:rFonts w:ascii="Verdana" w:hAnsi="Verdana"/>
          <w:b/>
          <w:sz w:val="24"/>
          <w:u w:val="single"/>
        </w:rPr>
        <w:t xml:space="preserve">ANNUAL REPORT </w:t>
      </w:r>
      <w:proofErr w:type="gramStart"/>
      <w:r>
        <w:rPr>
          <w:rFonts w:ascii="Verdana" w:hAnsi="Verdana"/>
          <w:b/>
          <w:sz w:val="24"/>
          <w:u w:val="single"/>
        </w:rPr>
        <w:t>2017  –</w:t>
      </w:r>
      <w:proofErr w:type="gramEnd"/>
      <w:r>
        <w:rPr>
          <w:rFonts w:ascii="Verdana" w:hAnsi="Verdana"/>
          <w:b/>
          <w:sz w:val="24"/>
          <w:u w:val="single"/>
        </w:rPr>
        <w:t xml:space="preserve">  COMPENSATION EMPLOYEES CREDIT UNION</w:t>
      </w:r>
    </w:p>
    <w:p w:rsidR="00871E84" w:rsidRDefault="00871E84" w:rsidP="00871E84">
      <w:pPr>
        <w:pStyle w:val="PlainText"/>
        <w:jc w:val="both"/>
        <w:rPr>
          <w:rFonts w:ascii="Verdana" w:hAnsi="Verdana"/>
          <w:b/>
          <w:sz w:val="24"/>
          <w:u w:val="single"/>
        </w:rPr>
      </w:pPr>
    </w:p>
    <w:p w:rsidR="00871E84" w:rsidRDefault="00871E84" w:rsidP="00871E84">
      <w:pPr>
        <w:pStyle w:val="PlainText"/>
        <w:jc w:val="both"/>
        <w:rPr>
          <w:rFonts w:ascii="Verdana" w:hAnsi="Verdana"/>
          <w:b/>
          <w:sz w:val="24"/>
          <w:u w:val="single"/>
        </w:rPr>
      </w:pPr>
      <w:r w:rsidRPr="00240880">
        <w:rPr>
          <w:rFonts w:ascii="Verdana" w:hAnsi="Verdana"/>
          <w:b/>
          <w:sz w:val="24"/>
          <w:u w:val="single"/>
        </w:rPr>
        <w:t>BOARD OF DIRECTORS REPORT</w:t>
      </w:r>
      <w:r w:rsidRPr="00240880">
        <w:rPr>
          <w:rFonts w:ascii="Verdana" w:hAnsi="Verdana"/>
          <w:b/>
          <w:sz w:val="24"/>
          <w:u w:val="single"/>
        </w:rPr>
        <w:tab/>
      </w:r>
      <w:r>
        <w:rPr>
          <w:rFonts w:ascii="Verdana" w:hAnsi="Verdana"/>
          <w:b/>
          <w:sz w:val="24"/>
          <w:u w:val="single"/>
        </w:rPr>
        <w:t xml:space="preserve"> </w:t>
      </w:r>
    </w:p>
    <w:p w:rsidR="00871E84" w:rsidRPr="00240880" w:rsidRDefault="00871E84" w:rsidP="00871E84">
      <w:pPr>
        <w:pStyle w:val="PlainText"/>
        <w:jc w:val="both"/>
        <w:rPr>
          <w:rFonts w:ascii="Verdana" w:hAnsi="Verdana"/>
          <w:sz w:val="24"/>
        </w:rPr>
      </w:pPr>
    </w:p>
    <w:p w:rsidR="00871E84" w:rsidRPr="00240880" w:rsidRDefault="00871E84" w:rsidP="00871E84">
      <w:pPr>
        <w:pStyle w:val="PlainText"/>
        <w:jc w:val="both"/>
        <w:rPr>
          <w:rFonts w:ascii="Verdana" w:hAnsi="Verdana"/>
          <w:sz w:val="24"/>
        </w:rPr>
      </w:pPr>
      <w:r w:rsidRPr="00240880">
        <w:rPr>
          <w:rFonts w:ascii="Verdana" w:hAnsi="Verdana"/>
          <w:sz w:val="24"/>
        </w:rPr>
        <w:t xml:space="preserve">The </w:t>
      </w:r>
      <w:r>
        <w:rPr>
          <w:rFonts w:ascii="Verdana" w:hAnsi="Verdana"/>
          <w:sz w:val="24"/>
        </w:rPr>
        <w:t>CECU staff and Board of Directors welcome</w:t>
      </w:r>
      <w:r w:rsidRPr="00240880">
        <w:rPr>
          <w:rFonts w:ascii="Verdana" w:hAnsi="Verdana"/>
          <w:sz w:val="24"/>
        </w:rPr>
        <w:t xml:space="preserve"> you to the </w:t>
      </w:r>
      <w:r>
        <w:rPr>
          <w:rFonts w:ascii="Verdana" w:hAnsi="Verdana"/>
          <w:sz w:val="24"/>
        </w:rPr>
        <w:t xml:space="preserve">64th </w:t>
      </w:r>
      <w:r w:rsidRPr="00240880">
        <w:rPr>
          <w:rFonts w:ascii="Verdana" w:hAnsi="Verdana"/>
          <w:sz w:val="24"/>
        </w:rPr>
        <w:t>Annual General Meeting of Compensation Employees Credit Union.</w:t>
      </w:r>
    </w:p>
    <w:p w:rsidR="00871E84" w:rsidRPr="00240880" w:rsidRDefault="00871E84" w:rsidP="00871E84">
      <w:pPr>
        <w:pStyle w:val="PlainText"/>
        <w:jc w:val="both"/>
        <w:rPr>
          <w:rFonts w:ascii="Verdana" w:hAnsi="Verdana"/>
          <w:sz w:val="24"/>
        </w:rPr>
      </w:pPr>
    </w:p>
    <w:p w:rsidR="00871E84" w:rsidRDefault="00871E84" w:rsidP="00871E84">
      <w:pPr>
        <w:pStyle w:val="PlainText"/>
        <w:jc w:val="both"/>
        <w:rPr>
          <w:rFonts w:ascii="Verdana" w:hAnsi="Verdana"/>
          <w:sz w:val="24"/>
        </w:rPr>
      </w:pPr>
      <w:r w:rsidRPr="00240880">
        <w:rPr>
          <w:rFonts w:ascii="Verdana" w:hAnsi="Verdana"/>
          <w:sz w:val="24"/>
        </w:rPr>
        <w:t>We are</w:t>
      </w:r>
      <w:r>
        <w:rPr>
          <w:rFonts w:ascii="Verdana" w:hAnsi="Verdana"/>
          <w:sz w:val="24"/>
        </w:rPr>
        <w:t xml:space="preserve"> very </w:t>
      </w:r>
      <w:r w:rsidRPr="00240880">
        <w:rPr>
          <w:rFonts w:ascii="Verdana" w:hAnsi="Verdana"/>
          <w:sz w:val="24"/>
        </w:rPr>
        <w:t xml:space="preserve">pleased to report </w:t>
      </w:r>
      <w:r>
        <w:rPr>
          <w:rFonts w:ascii="Verdana" w:hAnsi="Verdana"/>
          <w:sz w:val="24"/>
        </w:rPr>
        <w:t xml:space="preserve">yet </w:t>
      </w:r>
      <w:r w:rsidRPr="00240880">
        <w:rPr>
          <w:rFonts w:ascii="Verdana" w:hAnsi="Verdana"/>
          <w:sz w:val="24"/>
        </w:rPr>
        <w:t>another successful year of operation</w:t>
      </w:r>
      <w:r>
        <w:rPr>
          <w:rFonts w:ascii="Verdana" w:hAnsi="Verdana"/>
          <w:sz w:val="24"/>
        </w:rPr>
        <w:t xml:space="preserve">s.  </w:t>
      </w:r>
    </w:p>
    <w:p w:rsidR="00871E84" w:rsidRPr="00240880" w:rsidRDefault="00871E84" w:rsidP="00871E84">
      <w:pPr>
        <w:pStyle w:val="PlainText"/>
        <w:jc w:val="both"/>
        <w:rPr>
          <w:rFonts w:ascii="Verdana" w:hAnsi="Verdana"/>
          <w:sz w:val="24"/>
        </w:rPr>
      </w:pPr>
    </w:p>
    <w:p w:rsidR="00871E84" w:rsidRPr="00240880" w:rsidRDefault="00871E84" w:rsidP="00871E84">
      <w:pPr>
        <w:pStyle w:val="PlainText"/>
        <w:jc w:val="both"/>
        <w:rPr>
          <w:rFonts w:ascii="Verdana" w:hAnsi="Verdana"/>
          <w:sz w:val="24"/>
        </w:rPr>
      </w:pPr>
      <w:r>
        <w:rPr>
          <w:rFonts w:ascii="Verdana" w:hAnsi="Verdana"/>
          <w:sz w:val="24"/>
        </w:rPr>
        <w:t>We continue to be guided by the BC Ministry of Finance through its Financial Institutions Commission (FICOM) in</w:t>
      </w:r>
      <w:r w:rsidRPr="00240880">
        <w:rPr>
          <w:rFonts w:ascii="Verdana" w:hAnsi="Verdana"/>
          <w:sz w:val="24"/>
        </w:rPr>
        <w:t xml:space="preserve"> </w:t>
      </w:r>
      <w:r>
        <w:rPr>
          <w:rFonts w:ascii="Verdana" w:hAnsi="Verdana"/>
          <w:sz w:val="24"/>
        </w:rPr>
        <w:t>ensuring that our policies and strategies comply with their guidelines. With an eye</w:t>
      </w:r>
      <w:r w:rsidRPr="00240880">
        <w:rPr>
          <w:rFonts w:ascii="Verdana" w:hAnsi="Verdana"/>
          <w:sz w:val="24"/>
        </w:rPr>
        <w:t xml:space="preserve"> to reduce risk</w:t>
      </w:r>
      <w:r>
        <w:rPr>
          <w:rFonts w:ascii="Verdana" w:hAnsi="Verdana"/>
          <w:sz w:val="24"/>
        </w:rPr>
        <w:t xml:space="preserve">, </w:t>
      </w:r>
      <w:r w:rsidRPr="00240880">
        <w:rPr>
          <w:rFonts w:ascii="Verdana" w:hAnsi="Verdana"/>
          <w:sz w:val="24"/>
        </w:rPr>
        <w:t xml:space="preserve">ensure </w:t>
      </w:r>
      <w:r>
        <w:rPr>
          <w:rFonts w:ascii="Verdana" w:hAnsi="Verdana"/>
          <w:sz w:val="24"/>
        </w:rPr>
        <w:t xml:space="preserve">continued </w:t>
      </w:r>
      <w:r w:rsidRPr="00240880">
        <w:rPr>
          <w:rFonts w:ascii="Verdana" w:hAnsi="Verdana"/>
          <w:sz w:val="24"/>
        </w:rPr>
        <w:t>profitability and strength for the Credit Union</w:t>
      </w:r>
      <w:r>
        <w:rPr>
          <w:rFonts w:ascii="Verdana" w:hAnsi="Verdana"/>
          <w:sz w:val="24"/>
        </w:rPr>
        <w:t>, and being guided by our vision and mission, the credit union can confidently deliver services that members want and need.</w:t>
      </w:r>
    </w:p>
    <w:p w:rsidR="00871E84" w:rsidRPr="00240880" w:rsidRDefault="00871E84" w:rsidP="00871E84">
      <w:pPr>
        <w:pStyle w:val="PlainText"/>
        <w:jc w:val="both"/>
        <w:rPr>
          <w:rFonts w:ascii="Verdana" w:hAnsi="Verdana"/>
          <w:sz w:val="24"/>
        </w:rPr>
      </w:pPr>
    </w:p>
    <w:p w:rsidR="00871E84" w:rsidRDefault="00871E84" w:rsidP="00871E84">
      <w:pPr>
        <w:pStyle w:val="PlainText"/>
        <w:jc w:val="both"/>
        <w:rPr>
          <w:rFonts w:ascii="Verdana" w:hAnsi="Verdana"/>
          <w:sz w:val="24"/>
        </w:rPr>
      </w:pPr>
      <w:r>
        <w:rPr>
          <w:rFonts w:ascii="Verdana" w:hAnsi="Verdana"/>
          <w:sz w:val="24"/>
        </w:rPr>
        <w:t>W</w:t>
      </w:r>
      <w:r w:rsidRPr="00240880">
        <w:rPr>
          <w:rFonts w:ascii="Verdana" w:hAnsi="Verdana"/>
          <w:sz w:val="24"/>
        </w:rPr>
        <w:t xml:space="preserve">e </w:t>
      </w:r>
      <w:r>
        <w:rPr>
          <w:rFonts w:ascii="Verdana" w:hAnsi="Verdana"/>
          <w:sz w:val="24"/>
        </w:rPr>
        <w:t>are</w:t>
      </w:r>
      <w:r w:rsidRPr="00240880">
        <w:rPr>
          <w:rFonts w:ascii="Verdana" w:hAnsi="Verdana"/>
          <w:sz w:val="24"/>
        </w:rPr>
        <w:t xml:space="preserve"> </w:t>
      </w:r>
      <w:r>
        <w:rPr>
          <w:rFonts w:ascii="Verdana" w:hAnsi="Verdana"/>
          <w:sz w:val="24"/>
        </w:rPr>
        <w:t>also delighted</w:t>
      </w:r>
      <w:r w:rsidRPr="00240880">
        <w:rPr>
          <w:rFonts w:ascii="Verdana" w:hAnsi="Verdana"/>
          <w:sz w:val="24"/>
        </w:rPr>
        <w:t xml:space="preserve"> to </w:t>
      </w:r>
      <w:r>
        <w:rPr>
          <w:rFonts w:ascii="Verdana" w:hAnsi="Verdana"/>
          <w:sz w:val="24"/>
        </w:rPr>
        <w:t>announce</w:t>
      </w:r>
      <w:r w:rsidRPr="00240880">
        <w:rPr>
          <w:rFonts w:ascii="Verdana" w:hAnsi="Verdana"/>
          <w:sz w:val="24"/>
        </w:rPr>
        <w:t xml:space="preserve"> </w:t>
      </w:r>
      <w:r>
        <w:rPr>
          <w:rFonts w:ascii="Verdana" w:hAnsi="Verdana"/>
          <w:sz w:val="24"/>
        </w:rPr>
        <w:t>dividends</w:t>
      </w:r>
      <w:r w:rsidRPr="00240880">
        <w:rPr>
          <w:rFonts w:ascii="Verdana" w:hAnsi="Verdana"/>
          <w:sz w:val="24"/>
        </w:rPr>
        <w:t xml:space="preserve"> of </w:t>
      </w:r>
      <w:r w:rsidRPr="00DA7D42">
        <w:rPr>
          <w:rFonts w:ascii="Verdana" w:hAnsi="Verdana"/>
          <w:sz w:val="24"/>
        </w:rPr>
        <w:t>5%</w:t>
      </w:r>
      <w:r w:rsidRPr="00240880">
        <w:rPr>
          <w:rFonts w:ascii="Verdana" w:hAnsi="Verdana"/>
          <w:sz w:val="24"/>
        </w:rPr>
        <w:t xml:space="preserve"> on Equity Shares and </w:t>
      </w:r>
      <w:r w:rsidRPr="00DA7D42">
        <w:rPr>
          <w:rFonts w:ascii="Verdana" w:hAnsi="Verdana"/>
          <w:sz w:val="24"/>
        </w:rPr>
        <w:t>1.</w:t>
      </w:r>
      <w:r>
        <w:rPr>
          <w:rFonts w:ascii="Verdana" w:hAnsi="Verdana"/>
          <w:sz w:val="24"/>
        </w:rPr>
        <w:t>65</w:t>
      </w:r>
      <w:r w:rsidRPr="00DA7D42">
        <w:rPr>
          <w:rFonts w:ascii="Verdana" w:hAnsi="Verdana"/>
          <w:sz w:val="24"/>
        </w:rPr>
        <w:t>%</w:t>
      </w:r>
      <w:r w:rsidRPr="00240880">
        <w:rPr>
          <w:rFonts w:ascii="Verdana" w:hAnsi="Verdana"/>
          <w:sz w:val="24"/>
        </w:rPr>
        <w:t xml:space="preserve"> on Savings Shares. </w:t>
      </w:r>
    </w:p>
    <w:p w:rsidR="00871E84" w:rsidRDefault="00871E84" w:rsidP="00871E84">
      <w:pPr>
        <w:pStyle w:val="PlainText"/>
        <w:jc w:val="both"/>
        <w:rPr>
          <w:rFonts w:ascii="Verdana" w:hAnsi="Verdana"/>
          <w:sz w:val="24"/>
        </w:rPr>
      </w:pPr>
    </w:p>
    <w:p w:rsidR="00871E84" w:rsidRDefault="00871E84" w:rsidP="00871E84">
      <w:pPr>
        <w:pStyle w:val="PlainText"/>
        <w:jc w:val="both"/>
        <w:rPr>
          <w:rFonts w:ascii="Verdana" w:hAnsi="Verdana"/>
          <w:sz w:val="24"/>
        </w:rPr>
      </w:pPr>
      <w:r>
        <w:rPr>
          <w:rFonts w:ascii="Verdana" w:hAnsi="Verdana"/>
          <w:sz w:val="24"/>
        </w:rPr>
        <w:t>We are proud of our new website offering more accessibility and online services including interact e-transfers, along with the many other services offered to our members including mortgages, loans, registered plans and great rates on deposits. In 2018, we aim to look into additional ways to bring service, convenience, and profitability to our members.</w:t>
      </w:r>
    </w:p>
    <w:p w:rsidR="00871E84" w:rsidRDefault="00871E84" w:rsidP="00871E84">
      <w:pPr>
        <w:pStyle w:val="PlainText"/>
        <w:jc w:val="both"/>
        <w:rPr>
          <w:rFonts w:ascii="Verdana" w:hAnsi="Verdana"/>
          <w:sz w:val="24"/>
        </w:rPr>
      </w:pPr>
    </w:p>
    <w:p w:rsidR="00871E84" w:rsidRPr="00560693" w:rsidRDefault="00871E84" w:rsidP="00871E84">
      <w:pPr>
        <w:pStyle w:val="PlainText"/>
        <w:jc w:val="both"/>
        <w:rPr>
          <w:rFonts w:ascii="Verdana" w:hAnsi="Verdana"/>
          <w:sz w:val="24"/>
        </w:rPr>
      </w:pPr>
      <w:r>
        <w:rPr>
          <w:rFonts w:ascii="Verdana" w:hAnsi="Verdana"/>
          <w:sz w:val="24"/>
        </w:rPr>
        <w:t xml:space="preserve">It’s important that we continue to stay connected and remind you to add your email address to our database by emailing </w:t>
      </w:r>
      <w:hyperlink r:id="rId8" w:history="1">
        <w:r w:rsidRPr="00D0598D">
          <w:rPr>
            <w:rStyle w:val="Hyperlink"/>
            <w:rFonts w:ascii="Verdana" w:hAnsi="Verdana"/>
            <w:sz w:val="24"/>
          </w:rPr>
          <w:t>info@cecu.ca</w:t>
        </w:r>
      </w:hyperlink>
      <w:r>
        <w:rPr>
          <w:rFonts w:ascii="Verdana" w:hAnsi="Verdana"/>
          <w:sz w:val="24"/>
        </w:rPr>
        <w:t xml:space="preserve"> with ‘add’ in the subject line. This could allow for the possibility of e-statements in the future.  </w:t>
      </w:r>
      <w:r w:rsidRPr="00560693">
        <w:rPr>
          <w:rFonts w:ascii="Verdana" w:hAnsi="Verdana"/>
          <w:sz w:val="24"/>
        </w:rPr>
        <w:t xml:space="preserve"> </w:t>
      </w:r>
    </w:p>
    <w:p w:rsidR="00871E84" w:rsidRPr="00240880" w:rsidRDefault="00871E84" w:rsidP="00871E84">
      <w:pPr>
        <w:pStyle w:val="PlainText"/>
        <w:jc w:val="both"/>
        <w:rPr>
          <w:rFonts w:ascii="Verdana" w:hAnsi="Verdana"/>
          <w:sz w:val="24"/>
        </w:rPr>
      </w:pPr>
    </w:p>
    <w:p w:rsidR="00871E84" w:rsidRDefault="00871E84" w:rsidP="00871E84">
      <w:pPr>
        <w:pStyle w:val="PlainText"/>
        <w:jc w:val="both"/>
        <w:rPr>
          <w:rFonts w:ascii="Verdana" w:hAnsi="Verdana"/>
          <w:sz w:val="24"/>
        </w:rPr>
      </w:pPr>
      <w:r w:rsidRPr="00240880">
        <w:rPr>
          <w:rFonts w:ascii="Verdana" w:hAnsi="Verdana"/>
          <w:sz w:val="24"/>
        </w:rPr>
        <w:t xml:space="preserve">The Board of Directors would like to express their gratitude to </w:t>
      </w:r>
      <w:proofErr w:type="spellStart"/>
      <w:r w:rsidRPr="00240880">
        <w:rPr>
          <w:rFonts w:ascii="Verdana" w:hAnsi="Verdana"/>
          <w:sz w:val="24"/>
        </w:rPr>
        <w:t>WorkSafeBC</w:t>
      </w:r>
      <w:proofErr w:type="spellEnd"/>
      <w:r w:rsidRPr="00240880">
        <w:rPr>
          <w:rFonts w:ascii="Verdana" w:hAnsi="Verdana"/>
          <w:sz w:val="24"/>
        </w:rPr>
        <w:t xml:space="preserve"> for the continu</w:t>
      </w:r>
      <w:r>
        <w:rPr>
          <w:rFonts w:ascii="Verdana" w:hAnsi="Verdana"/>
          <w:sz w:val="24"/>
        </w:rPr>
        <w:t xml:space="preserve">ing support of the Credit Union; we </w:t>
      </w:r>
      <w:r w:rsidRPr="00240880">
        <w:rPr>
          <w:rFonts w:ascii="Verdana" w:hAnsi="Verdana"/>
          <w:sz w:val="24"/>
        </w:rPr>
        <w:t xml:space="preserve">also </w:t>
      </w:r>
      <w:r>
        <w:rPr>
          <w:rFonts w:ascii="Verdana" w:hAnsi="Verdana"/>
          <w:sz w:val="24"/>
        </w:rPr>
        <w:t xml:space="preserve">would </w:t>
      </w:r>
      <w:r w:rsidRPr="00240880">
        <w:rPr>
          <w:rFonts w:ascii="Verdana" w:hAnsi="Verdana"/>
          <w:sz w:val="24"/>
        </w:rPr>
        <w:t xml:space="preserve">like to thank the General Manager, Carol de Haas, </w:t>
      </w:r>
      <w:r>
        <w:rPr>
          <w:rFonts w:ascii="Verdana" w:hAnsi="Verdana"/>
          <w:sz w:val="24"/>
        </w:rPr>
        <w:t>and the rest of the staff f</w:t>
      </w:r>
      <w:r w:rsidRPr="00240880">
        <w:rPr>
          <w:rFonts w:ascii="Verdana" w:hAnsi="Verdana"/>
          <w:sz w:val="24"/>
        </w:rPr>
        <w:t xml:space="preserve">or their excellent service and efforts </w:t>
      </w:r>
      <w:r>
        <w:rPr>
          <w:rFonts w:ascii="Verdana" w:hAnsi="Verdana"/>
          <w:sz w:val="24"/>
        </w:rPr>
        <w:t>throughout the year</w:t>
      </w:r>
      <w:r w:rsidRPr="00240880">
        <w:rPr>
          <w:rFonts w:ascii="Verdana" w:hAnsi="Verdana"/>
          <w:sz w:val="24"/>
        </w:rPr>
        <w:t xml:space="preserve">. </w:t>
      </w:r>
    </w:p>
    <w:p w:rsidR="00871E84" w:rsidRDefault="00871E84" w:rsidP="00871E84">
      <w:pPr>
        <w:pStyle w:val="PlainText"/>
        <w:jc w:val="both"/>
        <w:rPr>
          <w:rFonts w:ascii="Verdana" w:hAnsi="Verdana"/>
          <w:sz w:val="24"/>
        </w:rPr>
      </w:pPr>
    </w:p>
    <w:p w:rsidR="00871E84" w:rsidRDefault="00871E84" w:rsidP="00871E84">
      <w:pPr>
        <w:pStyle w:val="PlainText"/>
        <w:jc w:val="both"/>
        <w:rPr>
          <w:rFonts w:ascii="Verdana" w:hAnsi="Verdana"/>
          <w:sz w:val="24"/>
        </w:rPr>
      </w:pPr>
      <w:proofErr w:type="gramStart"/>
      <w:r>
        <w:rPr>
          <w:rFonts w:ascii="Verdana" w:hAnsi="Verdana"/>
          <w:sz w:val="24"/>
        </w:rPr>
        <w:t>A final thank you to you, our members.</w:t>
      </w:r>
      <w:proofErr w:type="gramEnd"/>
      <w:r>
        <w:rPr>
          <w:rFonts w:ascii="Verdana" w:hAnsi="Verdana"/>
          <w:sz w:val="24"/>
        </w:rPr>
        <w:t xml:space="preserve"> Your continued business and support is what makes us profitable, and keeps us relevant.</w:t>
      </w:r>
    </w:p>
    <w:p w:rsidR="00871E84" w:rsidRDefault="00871E84" w:rsidP="00871E84">
      <w:pPr>
        <w:pStyle w:val="PlainText"/>
        <w:jc w:val="both"/>
        <w:rPr>
          <w:rFonts w:ascii="Verdana" w:hAnsi="Verdana"/>
          <w:sz w:val="24"/>
        </w:rPr>
      </w:pPr>
    </w:p>
    <w:p w:rsidR="00871E84" w:rsidRDefault="00871E84" w:rsidP="00871E84">
      <w:pPr>
        <w:pStyle w:val="PlainText"/>
        <w:jc w:val="both"/>
        <w:rPr>
          <w:rFonts w:ascii="Verdana" w:hAnsi="Verdana"/>
          <w:sz w:val="24"/>
        </w:rPr>
      </w:pPr>
    </w:p>
    <w:p w:rsidR="00871E84" w:rsidRPr="00240880" w:rsidRDefault="00871E84" w:rsidP="00871E84">
      <w:pPr>
        <w:pStyle w:val="PlainText"/>
        <w:jc w:val="both"/>
        <w:rPr>
          <w:rFonts w:ascii="Verdana" w:hAnsi="Verdana"/>
          <w:sz w:val="24"/>
        </w:rPr>
      </w:pPr>
      <w:r w:rsidRPr="00240880">
        <w:rPr>
          <w:rFonts w:ascii="Verdana" w:hAnsi="Verdana"/>
          <w:sz w:val="24"/>
        </w:rPr>
        <w:t>We look forward to another successful year in 20</w:t>
      </w:r>
      <w:r>
        <w:rPr>
          <w:rFonts w:ascii="Verdana" w:hAnsi="Verdana"/>
          <w:sz w:val="24"/>
        </w:rPr>
        <w:t>18</w:t>
      </w:r>
      <w:r w:rsidRPr="00240880">
        <w:rPr>
          <w:rFonts w:ascii="Verdana" w:hAnsi="Verdana"/>
          <w:sz w:val="24"/>
        </w:rPr>
        <w:t>.</w:t>
      </w:r>
    </w:p>
    <w:p w:rsidR="00871E84" w:rsidRPr="00240880" w:rsidRDefault="00871E84" w:rsidP="00871E84">
      <w:pPr>
        <w:pStyle w:val="PlainText"/>
        <w:jc w:val="both"/>
        <w:rPr>
          <w:rFonts w:ascii="Verdana" w:hAnsi="Verdana"/>
          <w:sz w:val="24"/>
        </w:rPr>
      </w:pPr>
    </w:p>
    <w:p w:rsidR="00871E84" w:rsidRPr="00240880" w:rsidRDefault="00871E84" w:rsidP="00871E84">
      <w:pPr>
        <w:pStyle w:val="PlainText"/>
        <w:jc w:val="both"/>
        <w:rPr>
          <w:rFonts w:ascii="Verdana" w:hAnsi="Verdana"/>
          <w:sz w:val="24"/>
        </w:rPr>
      </w:pPr>
      <w:r w:rsidRPr="00240880">
        <w:rPr>
          <w:rFonts w:ascii="Verdana" w:hAnsi="Verdana"/>
          <w:sz w:val="24"/>
        </w:rPr>
        <w:t>Respectfully Submitted,</w:t>
      </w:r>
    </w:p>
    <w:p w:rsidR="00871E84" w:rsidRDefault="00871E84" w:rsidP="00871E84">
      <w:pPr>
        <w:pStyle w:val="PlainText"/>
        <w:jc w:val="both"/>
        <w:rPr>
          <w:rFonts w:ascii="Verdana" w:hAnsi="Verdana"/>
          <w:sz w:val="24"/>
        </w:rPr>
      </w:pPr>
    </w:p>
    <w:p w:rsidR="00871E84" w:rsidRDefault="00871E84" w:rsidP="00871E84">
      <w:pPr>
        <w:pStyle w:val="PlainText"/>
        <w:jc w:val="both"/>
        <w:rPr>
          <w:rFonts w:ascii="Verdana" w:hAnsi="Verdana"/>
          <w:sz w:val="24"/>
        </w:rPr>
      </w:pPr>
      <w:r w:rsidRPr="00240880">
        <w:rPr>
          <w:rFonts w:ascii="Verdana" w:hAnsi="Verdana"/>
          <w:sz w:val="24"/>
        </w:rPr>
        <w:t>Board of Directors</w:t>
      </w:r>
      <w:r>
        <w:rPr>
          <w:rFonts w:ascii="Verdana" w:hAnsi="Verdana"/>
          <w:sz w:val="24"/>
        </w:rPr>
        <w:t>,</w:t>
      </w:r>
    </w:p>
    <w:p w:rsidR="00871E84" w:rsidRPr="00240880" w:rsidRDefault="00871E84" w:rsidP="00871E84">
      <w:pPr>
        <w:pStyle w:val="PlainText"/>
        <w:jc w:val="both"/>
        <w:rPr>
          <w:rFonts w:ascii="Verdana" w:hAnsi="Verdana"/>
          <w:sz w:val="24"/>
        </w:rPr>
      </w:pPr>
      <w:r w:rsidRPr="00240880">
        <w:rPr>
          <w:rFonts w:ascii="Verdana" w:hAnsi="Verdana"/>
          <w:sz w:val="24"/>
        </w:rPr>
        <w:t>Compensation Employees Credit Union</w:t>
      </w:r>
    </w:p>
    <w:p w:rsidR="00871E84" w:rsidRDefault="00871E84" w:rsidP="00871E84">
      <w:pPr>
        <w:pStyle w:val="PlainText"/>
        <w:jc w:val="both"/>
        <w:rPr>
          <w:rFonts w:ascii="Verdana" w:hAnsi="Verdana"/>
          <w:sz w:val="24"/>
        </w:rPr>
      </w:pPr>
    </w:p>
    <w:p w:rsidR="00871E84" w:rsidRDefault="00871E84" w:rsidP="00871E84">
      <w:pPr>
        <w:pStyle w:val="PlainText"/>
        <w:jc w:val="both"/>
        <w:rPr>
          <w:rFonts w:ascii="Verdana" w:hAnsi="Verdana"/>
          <w:sz w:val="24"/>
        </w:rPr>
      </w:pPr>
    </w:p>
    <w:p w:rsidR="00871E84" w:rsidRDefault="00871E84" w:rsidP="00871E84">
      <w:pPr>
        <w:pStyle w:val="PlainText"/>
        <w:jc w:val="both"/>
        <w:rPr>
          <w:rFonts w:ascii="Verdana" w:hAnsi="Verdana"/>
          <w:sz w:val="24"/>
        </w:rPr>
      </w:pPr>
    </w:p>
    <w:p w:rsidR="00871E84" w:rsidRDefault="00871E84" w:rsidP="00871E84">
      <w:pPr>
        <w:pStyle w:val="PlainText"/>
        <w:jc w:val="both"/>
        <w:rPr>
          <w:rFonts w:ascii="Verdana" w:hAnsi="Verdana"/>
          <w:b/>
          <w:sz w:val="24"/>
          <w:u w:val="single"/>
        </w:rPr>
      </w:pPr>
    </w:p>
    <w:p w:rsidR="00871E84" w:rsidRPr="00AA6DF4" w:rsidRDefault="00871E84" w:rsidP="00871E84">
      <w:pPr>
        <w:pStyle w:val="PlainText"/>
        <w:jc w:val="both"/>
        <w:rPr>
          <w:rFonts w:ascii="Verdana" w:hAnsi="Verdana"/>
          <w:b/>
          <w:sz w:val="24"/>
          <w:u w:val="single"/>
        </w:rPr>
      </w:pPr>
      <w:r w:rsidRPr="00AA6DF4">
        <w:rPr>
          <w:rFonts w:ascii="Verdana" w:hAnsi="Verdana"/>
          <w:b/>
          <w:sz w:val="24"/>
          <w:u w:val="single"/>
        </w:rPr>
        <w:lastRenderedPageBreak/>
        <w:t xml:space="preserve">GENERAL MANAGER'S REPORT      </w:t>
      </w:r>
    </w:p>
    <w:p w:rsidR="00871E84" w:rsidRPr="00AA6DF4" w:rsidRDefault="00871E84" w:rsidP="00871E84">
      <w:pPr>
        <w:pStyle w:val="PlainText"/>
        <w:jc w:val="both"/>
        <w:rPr>
          <w:rFonts w:ascii="Verdana" w:hAnsi="Verdana"/>
          <w:sz w:val="24"/>
        </w:rPr>
      </w:pPr>
    </w:p>
    <w:p w:rsidR="00871E84" w:rsidRPr="002D630E" w:rsidRDefault="00871E84" w:rsidP="00871E84">
      <w:pPr>
        <w:pStyle w:val="PlainText"/>
        <w:jc w:val="both"/>
        <w:rPr>
          <w:rFonts w:ascii="Verdana" w:hAnsi="Verdana"/>
          <w:sz w:val="24"/>
        </w:rPr>
      </w:pPr>
      <w:r>
        <w:rPr>
          <w:rFonts w:ascii="Verdana" w:hAnsi="Verdana"/>
          <w:sz w:val="24"/>
        </w:rPr>
        <w:t>T</w:t>
      </w:r>
      <w:r w:rsidRPr="002D630E">
        <w:rPr>
          <w:rFonts w:ascii="Verdana" w:hAnsi="Verdana"/>
          <w:sz w:val="24"/>
        </w:rPr>
        <w:t>he year ending December 31, 201</w:t>
      </w:r>
      <w:r>
        <w:rPr>
          <w:rFonts w:ascii="Verdana" w:hAnsi="Verdana"/>
          <w:sz w:val="24"/>
        </w:rPr>
        <w:t>7</w:t>
      </w:r>
      <w:r w:rsidRPr="002D630E">
        <w:rPr>
          <w:rFonts w:ascii="Verdana" w:hAnsi="Verdana"/>
          <w:sz w:val="24"/>
        </w:rPr>
        <w:t xml:space="preserve"> was another financially successful year for Compensation Employee's Credit Union. It was a year </w:t>
      </w:r>
      <w:r>
        <w:rPr>
          <w:rFonts w:ascii="Verdana" w:hAnsi="Verdana"/>
          <w:sz w:val="24"/>
        </w:rPr>
        <w:t>of growth and</w:t>
      </w:r>
      <w:r w:rsidRPr="002D630E">
        <w:rPr>
          <w:rFonts w:ascii="Verdana" w:hAnsi="Verdana"/>
          <w:sz w:val="24"/>
        </w:rPr>
        <w:t xml:space="preserve"> profitability</w:t>
      </w:r>
      <w:r>
        <w:rPr>
          <w:rFonts w:ascii="Verdana" w:hAnsi="Verdana"/>
          <w:sz w:val="24"/>
        </w:rPr>
        <w:t xml:space="preserve">, again resulting </w:t>
      </w:r>
      <w:r w:rsidRPr="002D630E">
        <w:rPr>
          <w:rFonts w:ascii="Verdana" w:hAnsi="Verdana"/>
          <w:sz w:val="24"/>
        </w:rPr>
        <w:t>in a healthy return for members.</w:t>
      </w:r>
    </w:p>
    <w:p w:rsidR="00871E84" w:rsidRPr="002D630E" w:rsidRDefault="00871E84" w:rsidP="00871E84">
      <w:pPr>
        <w:pStyle w:val="PlainText"/>
        <w:jc w:val="both"/>
        <w:rPr>
          <w:rFonts w:ascii="Verdana" w:hAnsi="Verdana"/>
          <w:sz w:val="24"/>
        </w:rPr>
      </w:pPr>
    </w:p>
    <w:p w:rsidR="00871E84" w:rsidRPr="00AA6DF4" w:rsidRDefault="00871E84" w:rsidP="00871E84">
      <w:pPr>
        <w:pStyle w:val="PlainText"/>
        <w:jc w:val="both"/>
        <w:rPr>
          <w:rFonts w:ascii="Verdana" w:hAnsi="Verdana"/>
          <w:sz w:val="24"/>
        </w:rPr>
      </w:pPr>
      <w:r w:rsidRPr="00AA6DF4">
        <w:rPr>
          <w:rFonts w:ascii="Verdana" w:hAnsi="Verdana"/>
          <w:sz w:val="24"/>
        </w:rPr>
        <w:t>In 20</w:t>
      </w:r>
      <w:r>
        <w:rPr>
          <w:rFonts w:ascii="Verdana" w:hAnsi="Verdana"/>
          <w:sz w:val="24"/>
        </w:rPr>
        <w:t>17</w:t>
      </w:r>
      <w:r w:rsidRPr="00AA6DF4">
        <w:rPr>
          <w:rFonts w:ascii="Verdana" w:hAnsi="Verdana"/>
          <w:sz w:val="24"/>
        </w:rPr>
        <w:t xml:space="preserve">, the Credit Union experienced </w:t>
      </w:r>
      <w:r>
        <w:rPr>
          <w:rFonts w:ascii="Verdana" w:hAnsi="Verdana"/>
          <w:sz w:val="24"/>
        </w:rPr>
        <w:t xml:space="preserve">a 1.94% ($612K) </w:t>
      </w:r>
      <w:r w:rsidRPr="00AA6DF4">
        <w:rPr>
          <w:rFonts w:ascii="Verdana" w:hAnsi="Verdana"/>
          <w:sz w:val="24"/>
        </w:rPr>
        <w:t xml:space="preserve">growth </w:t>
      </w:r>
      <w:r>
        <w:rPr>
          <w:rFonts w:ascii="Verdana" w:hAnsi="Verdana"/>
          <w:sz w:val="24"/>
        </w:rPr>
        <w:t xml:space="preserve">in Assets. Total Loans declined by $300K due to lower liquidity and a purposeful slowdown in mortgages. Total Deposits were up slightly. </w:t>
      </w:r>
      <w:proofErr w:type="gramStart"/>
      <w:r>
        <w:rPr>
          <w:rFonts w:ascii="Verdana" w:hAnsi="Verdana"/>
          <w:sz w:val="24"/>
        </w:rPr>
        <w:t>Investments in Central 1 increas</w:t>
      </w:r>
      <w:r w:rsidR="006B1498">
        <w:rPr>
          <w:rFonts w:ascii="Verdana" w:hAnsi="Verdana"/>
          <w:sz w:val="24"/>
        </w:rPr>
        <w:t>ed</w:t>
      </w:r>
      <w:r>
        <w:rPr>
          <w:rFonts w:ascii="Verdana" w:hAnsi="Verdana"/>
          <w:sz w:val="24"/>
        </w:rPr>
        <w:t xml:space="preserve"> by $1M.</w:t>
      </w:r>
      <w:proofErr w:type="gramEnd"/>
      <w:r>
        <w:rPr>
          <w:rFonts w:ascii="Verdana" w:hAnsi="Verdana"/>
          <w:sz w:val="24"/>
        </w:rPr>
        <w:t xml:space="preserve"> This change in the asset mix supported the </w:t>
      </w:r>
      <w:r w:rsidRPr="00AA6DF4">
        <w:rPr>
          <w:rFonts w:ascii="Verdana" w:hAnsi="Verdana"/>
          <w:sz w:val="24"/>
        </w:rPr>
        <w:t>Credit Union earn</w:t>
      </w:r>
      <w:r>
        <w:rPr>
          <w:rFonts w:ascii="Verdana" w:hAnsi="Verdana"/>
          <w:sz w:val="24"/>
        </w:rPr>
        <w:t>ing</w:t>
      </w:r>
      <w:r w:rsidRPr="00AA6DF4">
        <w:rPr>
          <w:rFonts w:ascii="Verdana" w:hAnsi="Verdana"/>
          <w:sz w:val="24"/>
        </w:rPr>
        <w:t xml:space="preserve"> a healthy profit for members with an interest margin of 1.</w:t>
      </w:r>
      <w:r>
        <w:rPr>
          <w:rFonts w:ascii="Verdana" w:hAnsi="Verdana"/>
          <w:sz w:val="24"/>
        </w:rPr>
        <w:t>78</w:t>
      </w:r>
      <w:r w:rsidRPr="00AA6DF4">
        <w:rPr>
          <w:rFonts w:ascii="Verdana" w:hAnsi="Verdana"/>
          <w:sz w:val="24"/>
        </w:rPr>
        <w:t>% and net earnings at over $</w:t>
      </w:r>
      <w:r>
        <w:rPr>
          <w:rFonts w:ascii="Verdana" w:hAnsi="Verdana"/>
          <w:sz w:val="24"/>
        </w:rPr>
        <w:t>59K</w:t>
      </w:r>
      <w:r w:rsidRPr="00AA6DF4">
        <w:rPr>
          <w:rFonts w:ascii="Verdana" w:hAnsi="Verdana"/>
          <w:sz w:val="24"/>
        </w:rPr>
        <w:t xml:space="preserve">.  </w:t>
      </w:r>
    </w:p>
    <w:p w:rsidR="00871E84" w:rsidRPr="00AA6DF4" w:rsidRDefault="00871E84" w:rsidP="00871E84">
      <w:pPr>
        <w:pStyle w:val="PlainText"/>
        <w:jc w:val="both"/>
        <w:rPr>
          <w:rFonts w:ascii="Verdana" w:hAnsi="Verdana"/>
          <w:sz w:val="24"/>
        </w:rPr>
      </w:pPr>
      <w:r w:rsidRPr="00AA6DF4">
        <w:rPr>
          <w:rFonts w:ascii="Verdana" w:hAnsi="Verdana"/>
          <w:sz w:val="24"/>
        </w:rPr>
        <w:cr/>
      </w:r>
      <w:r>
        <w:rPr>
          <w:rFonts w:ascii="Verdana" w:hAnsi="Verdana"/>
          <w:sz w:val="24"/>
        </w:rPr>
        <w:t>T</w:t>
      </w:r>
      <w:r w:rsidRPr="00AA6DF4">
        <w:rPr>
          <w:rFonts w:ascii="Verdana" w:hAnsi="Verdana"/>
          <w:sz w:val="24"/>
        </w:rPr>
        <w:t xml:space="preserve">he Board of Directors declared dividends of </w:t>
      </w:r>
      <w:r>
        <w:rPr>
          <w:rFonts w:ascii="Verdana" w:hAnsi="Verdana"/>
          <w:sz w:val="24"/>
        </w:rPr>
        <w:t>5</w:t>
      </w:r>
      <w:r w:rsidRPr="00AA6DF4">
        <w:rPr>
          <w:rFonts w:ascii="Verdana" w:hAnsi="Verdana"/>
          <w:sz w:val="24"/>
        </w:rPr>
        <w:t xml:space="preserve">% on Equity Shares and </w:t>
      </w:r>
      <w:r>
        <w:rPr>
          <w:rFonts w:ascii="Verdana" w:hAnsi="Verdana"/>
          <w:sz w:val="24"/>
        </w:rPr>
        <w:t>1.65</w:t>
      </w:r>
      <w:r w:rsidRPr="00AA6DF4">
        <w:rPr>
          <w:rFonts w:ascii="Verdana" w:hAnsi="Verdana"/>
          <w:sz w:val="24"/>
        </w:rPr>
        <w:t>% on Savings Shares. This resulted in a payment of over $</w:t>
      </w:r>
      <w:r>
        <w:rPr>
          <w:rFonts w:ascii="Verdana" w:hAnsi="Verdana"/>
          <w:sz w:val="24"/>
        </w:rPr>
        <w:t>348K</w:t>
      </w:r>
      <w:r w:rsidRPr="00AA6DF4">
        <w:rPr>
          <w:rFonts w:ascii="Verdana" w:hAnsi="Verdana"/>
          <w:sz w:val="24"/>
        </w:rPr>
        <w:t xml:space="preserve"> to members. The Credit Union is committed to building a strong capital base, to ensure future profitability for members and also protect against the risks involved with interest rate changes.</w:t>
      </w:r>
    </w:p>
    <w:p w:rsidR="00871E84" w:rsidRPr="00AA6DF4" w:rsidRDefault="00871E84" w:rsidP="00871E84">
      <w:pPr>
        <w:pStyle w:val="PlainText"/>
        <w:jc w:val="both"/>
        <w:rPr>
          <w:rFonts w:ascii="Verdana" w:hAnsi="Verdana"/>
          <w:sz w:val="24"/>
        </w:rPr>
      </w:pPr>
    </w:p>
    <w:p w:rsidR="00871E84" w:rsidRDefault="00871E84" w:rsidP="00871E84">
      <w:pPr>
        <w:pStyle w:val="PlainText"/>
        <w:jc w:val="both"/>
        <w:rPr>
          <w:rFonts w:ascii="Verdana" w:hAnsi="Verdana"/>
          <w:sz w:val="24"/>
        </w:rPr>
      </w:pPr>
      <w:r w:rsidRPr="00AA6DF4">
        <w:rPr>
          <w:rFonts w:ascii="Verdana" w:hAnsi="Verdana"/>
          <w:sz w:val="24"/>
        </w:rPr>
        <w:t xml:space="preserve">Management and Directors have been busy strategically planning for the future of the Credit Union. </w:t>
      </w:r>
      <w:r>
        <w:rPr>
          <w:rFonts w:ascii="Verdana" w:hAnsi="Verdana"/>
          <w:sz w:val="24"/>
        </w:rPr>
        <w:t>In 2017, the Credit Union went through some staffing changes and retirements.</w:t>
      </w:r>
    </w:p>
    <w:p w:rsidR="00871E84" w:rsidRDefault="00871E84" w:rsidP="00871E84">
      <w:pPr>
        <w:pStyle w:val="PlainText"/>
        <w:jc w:val="both"/>
        <w:rPr>
          <w:rFonts w:ascii="Verdana" w:hAnsi="Verdana"/>
          <w:sz w:val="24"/>
        </w:rPr>
      </w:pPr>
    </w:p>
    <w:p w:rsidR="00871E84" w:rsidRDefault="00871E84" w:rsidP="00871E84">
      <w:pPr>
        <w:pStyle w:val="PlainText"/>
        <w:jc w:val="both"/>
        <w:rPr>
          <w:rFonts w:ascii="Verdana" w:hAnsi="Verdana"/>
          <w:sz w:val="24"/>
        </w:rPr>
      </w:pPr>
      <w:r w:rsidRPr="00AA6DF4">
        <w:rPr>
          <w:rFonts w:ascii="Verdana" w:hAnsi="Verdana"/>
          <w:sz w:val="24"/>
        </w:rPr>
        <w:t>It is important to ensure that dealing with the Credit Union continues to be convenient for all members</w:t>
      </w:r>
      <w:r>
        <w:rPr>
          <w:rFonts w:ascii="Verdana" w:hAnsi="Verdana"/>
          <w:sz w:val="24"/>
        </w:rPr>
        <w:t xml:space="preserve">. </w:t>
      </w:r>
      <w:r w:rsidRPr="00F32614">
        <w:rPr>
          <w:rFonts w:ascii="Verdana" w:hAnsi="Verdana"/>
          <w:sz w:val="24"/>
        </w:rPr>
        <w:t xml:space="preserve"> </w:t>
      </w:r>
      <w:r w:rsidRPr="00AA6DF4">
        <w:rPr>
          <w:rFonts w:ascii="Verdana" w:hAnsi="Verdana"/>
          <w:sz w:val="24"/>
        </w:rPr>
        <w:t>We continu</w:t>
      </w:r>
      <w:r>
        <w:rPr>
          <w:rFonts w:ascii="Verdana" w:hAnsi="Verdana"/>
          <w:sz w:val="24"/>
        </w:rPr>
        <w:t>e</w:t>
      </w:r>
      <w:r w:rsidRPr="00AA6DF4">
        <w:rPr>
          <w:rFonts w:ascii="Verdana" w:hAnsi="Verdana"/>
          <w:sz w:val="24"/>
        </w:rPr>
        <w:t xml:space="preserve"> to work on better access to funds and inform</w:t>
      </w:r>
      <w:r>
        <w:rPr>
          <w:rFonts w:ascii="Verdana" w:hAnsi="Verdana"/>
          <w:sz w:val="24"/>
        </w:rPr>
        <w:t xml:space="preserve">ation for all members across BC.  </w:t>
      </w:r>
      <w:r w:rsidRPr="00AA6DF4">
        <w:rPr>
          <w:rFonts w:ascii="Verdana" w:hAnsi="Verdana"/>
          <w:sz w:val="24"/>
        </w:rPr>
        <w:t>And, as a BC Credit Union member, deposits carry unlimited deposit insurance protection.</w:t>
      </w:r>
    </w:p>
    <w:p w:rsidR="00871E84" w:rsidRPr="00AA6DF4" w:rsidRDefault="00871E84" w:rsidP="00871E84">
      <w:pPr>
        <w:pStyle w:val="PlainText"/>
        <w:jc w:val="both"/>
        <w:rPr>
          <w:rFonts w:ascii="Verdana" w:hAnsi="Verdana"/>
          <w:sz w:val="24"/>
        </w:rPr>
      </w:pPr>
    </w:p>
    <w:p w:rsidR="00871E84" w:rsidRDefault="00871E84" w:rsidP="00871E84">
      <w:pPr>
        <w:pStyle w:val="PlainText"/>
        <w:jc w:val="both"/>
        <w:rPr>
          <w:rFonts w:ascii="Verdana" w:hAnsi="Verdana"/>
          <w:sz w:val="24"/>
        </w:rPr>
      </w:pPr>
      <w:r w:rsidRPr="00AA6DF4">
        <w:rPr>
          <w:rFonts w:ascii="Verdana" w:hAnsi="Verdana"/>
          <w:sz w:val="24"/>
        </w:rPr>
        <w:t>The Compensation Employees Credit</w:t>
      </w:r>
      <w:r w:rsidR="006B1498">
        <w:rPr>
          <w:rFonts w:ascii="Verdana" w:hAnsi="Verdana"/>
          <w:sz w:val="24"/>
        </w:rPr>
        <w:t xml:space="preserve"> Union is very grateful to </w:t>
      </w:r>
      <w:proofErr w:type="spellStart"/>
      <w:r w:rsidR="006B1498">
        <w:rPr>
          <w:rFonts w:ascii="Verdana" w:hAnsi="Verdana"/>
          <w:sz w:val="24"/>
        </w:rPr>
        <w:t>WorkS</w:t>
      </w:r>
      <w:bookmarkStart w:id="0" w:name="_GoBack"/>
      <w:bookmarkEnd w:id="0"/>
      <w:r w:rsidRPr="00AA6DF4">
        <w:rPr>
          <w:rFonts w:ascii="Verdana" w:hAnsi="Verdana"/>
          <w:sz w:val="24"/>
        </w:rPr>
        <w:t>afeBC</w:t>
      </w:r>
      <w:proofErr w:type="spellEnd"/>
      <w:r w:rsidRPr="00AA6DF4">
        <w:rPr>
          <w:rFonts w:ascii="Verdana" w:hAnsi="Verdana"/>
          <w:sz w:val="24"/>
        </w:rPr>
        <w:t xml:space="preserve"> for the many services provided. </w:t>
      </w:r>
    </w:p>
    <w:p w:rsidR="00871E84" w:rsidRPr="00AA6DF4" w:rsidRDefault="00871E84" w:rsidP="00871E84">
      <w:pPr>
        <w:pStyle w:val="PlainText"/>
        <w:jc w:val="both"/>
        <w:rPr>
          <w:rFonts w:ascii="Verdana" w:hAnsi="Verdana"/>
          <w:sz w:val="24"/>
        </w:rPr>
      </w:pPr>
    </w:p>
    <w:p w:rsidR="00871E84" w:rsidRPr="00AA6DF4" w:rsidRDefault="00871E84" w:rsidP="00871E84">
      <w:pPr>
        <w:pStyle w:val="PlainText"/>
        <w:jc w:val="both"/>
        <w:rPr>
          <w:rFonts w:ascii="Verdana" w:hAnsi="Verdana"/>
          <w:sz w:val="24"/>
        </w:rPr>
      </w:pPr>
      <w:r w:rsidRPr="00AA6DF4">
        <w:rPr>
          <w:rFonts w:ascii="Verdana" w:hAnsi="Verdana"/>
          <w:sz w:val="24"/>
        </w:rPr>
        <w:t xml:space="preserve">I would like to thank the Credit Union Board of Directors for their commitment and support. As a team, they develop policies and strategic objectives to ensure the profitability and strength of the Credit Union. The Directors are very responsive to member’s needs and concerns, and encourage your input. </w:t>
      </w:r>
    </w:p>
    <w:p w:rsidR="00871E84" w:rsidRPr="00AA6DF4" w:rsidRDefault="00871E84" w:rsidP="00871E84">
      <w:pPr>
        <w:pStyle w:val="PlainText"/>
        <w:jc w:val="both"/>
        <w:rPr>
          <w:rFonts w:ascii="Verdana" w:hAnsi="Verdana"/>
          <w:sz w:val="24"/>
        </w:rPr>
      </w:pPr>
    </w:p>
    <w:p w:rsidR="00871E84" w:rsidRPr="00AA6DF4" w:rsidRDefault="00871E84" w:rsidP="00871E84">
      <w:pPr>
        <w:pStyle w:val="PlainText"/>
        <w:jc w:val="both"/>
        <w:rPr>
          <w:rFonts w:ascii="Verdana" w:hAnsi="Verdana"/>
          <w:sz w:val="24"/>
        </w:rPr>
      </w:pPr>
      <w:r w:rsidRPr="00AA6DF4">
        <w:rPr>
          <w:rFonts w:ascii="Verdana" w:hAnsi="Verdana"/>
          <w:sz w:val="24"/>
        </w:rPr>
        <w:t xml:space="preserve">A final THANKS to the members. As members, you are owners, and it’s your business and support that makes the credit union </w:t>
      </w:r>
      <w:proofErr w:type="gramStart"/>
      <w:r w:rsidRPr="00AA6DF4">
        <w:rPr>
          <w:rFonts w:ascii="Verdana" w:hAnsi="Verdana"/>
          <w:sz w:val="24"/>
        </w:rPr>
        <w:t>prosper</w:t>
      </w:r>
      <w:proofErr w:type="gramEnd"/>
      <w:r w:rsidRPr="00AA6DF4">
        <w:rPr>
          <w:rFonts w:ascii="Verdana" w:hAnsi="Verdana"/>
          <w:sz w:val="24"/>
        </w:rPr>
        <w:t xml:space="preserve">. We look forward to another profitable and successful year in </w:t>
      </w:r>
      <w:r>
        <w:rPr>
          <w:rFonts w:ascii="Verdana" w:hAnsi="Verdana"/>
          <w:sz w:val="24"/>
        </w:rPr>
        <w:t>2018.</w:t>
      </w:r>
    </w:p>
    <w:p w:rsidR="00871E84" w:rsidRPr="00AA6DF4" w:rsidRDefault="00871E84" w:rsidP="00871E84">
      <w:pPr>
        <w:pStyle w:val="PlainText"/>
        <w:jc w:val="both"/>
        <w:rPr>
          <w:rFonts w:ascii="Verdana" w:hAnsi="Verdana"/>
          <w:sz w:val="24"/>
        </w:rPr>
      </w:pPr>
    </w:p>
    <w:p w:rsidR="00871E84" w:rsidRPr="00AA6DF4" w:rsidRDefault="00871E84" w:rsidP="00871E84">
      <w:pPr>
        <w:pStyle w:val="PlainText"/>
        <w:jc w:val="both"/>
        <w:rPr>
          <w:rFonts w:ascii="Verdana" w:hAnsi="Verdana"/>
          <w:sz w:val="24"/>
        </w:rPr>
      </w:pPr>
    </w:p>
    <w:p w:rsidR="00871E84" w:rsidRPr="00AA6DF4" w:rsidRDefault="00871E84" w:rsidP="00871E84">
      <w:pPr>
        <w:pStyle w:val="PlainText"/>
        <w:jc w:val="both"/>
        <w:rPr>
          <w:rFonts w:ascii="Verdana" w:hAnsi="Verdana"/>
          <w:sz w:val="24"/>
        </w:rPr>
      </w:pPr>
      <w:r w:rsidRPr="00AA6DF4">
        <w:rPr>
          <w:rFonts w:ascii="Verdana" w:hAnsi="Verdana"/>
          <w:sz w:val="24"/>
        </w:rPr>
        <w:cr/>
        <w:t>Respectfully Submitted,</w:t>
      </w:r>
      <w:r w:rsidRPr="00AA6DF4">
        <w:rPr>
          <w:rFonts w:ascii="Verdana" w:hAnsi="Verdana"/>
          <w:sz w:val="24"/>
        </w:rPr>
        <w:cr/>
        <w:t>Carol de Haas</w:t>
      </w:r>
    </w:p>
    <w:p w:rsidR="00871E84" w:rsidRDefault="00871E84" w:rsidP="00871E84">
      <w:pPr>
        <w:pStyle w:val="PlainText"/>
        <w:jc w:val="both"/>
        <w:rPr>
          <w:rFonts w:ascii="Verdana" w:hAnsi="Verdana"/>
          <w:sz w:val="24"/>
        </w:rPr>
      </w:pPr>
      <w:r w:rsidRPr="00AA6DF4">
        <w:rPr>
          <w:rFonts w:ascii="Verdana" w:hAnsi="Verdana"/>
          <w:sz w:val="24"/>
        </w:rPr>
        <w:t>General Manager</w:t>
      </w:r>
    </w:p>
    <w:p w:rsidR="00871E84" w:rsidRDefault="00871E84" w:rsidP="00871E84">
      <w:pPr>
        <w:pStyle w:val="PlainText"/>
        <w:jc w:val="both"/>
        <w:rPr>
          <w:rFonts w:ascii="Verdana" w:hAnsi="Verdana"/>
          <w:sz w:val="24"/>
        </w:rPr>
      </w:pPr>
    </w:p>
    <w:tbl>
      <w:tblPr>
        <w:tblW w:w="10153" w:type="dxa"/>
        <w:tblLayout w:type="fixed"/>
        <w:tblLook w:val="0000" w:firstRow="0" w:lastRow="0" w:firstColumn="0" w:lastColumn="0" w:noHBand="0" w:noVBand="0"/>
      </w:tblPr>
      <w:tblGrid>
        <w:gridCol w:w="10153"/>
      </w:tblGrid>
      <w:tr w:rsidR="00871E84" w:rsidRPr="00BC2D22" w:rsidTr="005D067F">
        <w:trPr>
          <w:trHeight w:val="146"/>
          <w:tblHeader/>
        </w:trPr>
        <w:tc>
          <w:tcPr>
            <w:tcW w:w="10153" w:type="dxa"/>
          </w:tcPr>
          <w:tbl>
            <w:tblPr>
              <w:tblW w:w="10153" w:type="dxa"/>
              <w:tblInd w:w="108" w:type="dxa"/>
              <w:tblLayout w:type="fixed"/>
              <w:tblLook w:val="0000" w:firstRow="0" w:lastRow="0" w:firstColumn="0" w:lastColumn="0" w:noHBand="0" w:noVBand="0"/>
            </w:tblPr>
            <w:tblGrid>
              <w:gridCol w:w="10153"/>
            </w:tblGrid>
            <w:tr w:rsidR="00871E84" w:rsidRPr="00DA4373" w:rsidTr="005D067F">
              <w:trPr>
                <w:trHeight w:val="146"/>
                <w:tblHeader/>
              </w:trPr>
              <w:tc>
                <w:tcPr>
                  <w:tcW w:w="10153" w:type="dxa"/>
                </w:tcPr>
                <w:p w:rsidR="00871E84" w:rsidRPr="00DA4373" w:rsidRDefault="00871E84" w:rsidP="005D067F">
                  <w:pPr>
                    <w:widowControl w:val="0"/>
                    <w:autoSpaceDE w:val="0"/>
                    <w:autoSpaceDN w:val="0"/>
                    <w:adjustRightInd w:val="0"/>
                    <w:ind w:left="-108"/>
                    <w:jc w:val="center"/>
                    <w:rPr>
                      <w:rFonts w:ascii="Arial" w:eastAsiaTheme="minorEastAsia" w:hAnsi="Arial" w:cs="Arial"/>
                      <w:b/>
                      <w:bCs/>
                      <w:iCs/>
                      <w:color w:val="000000"/>
                      <w:sz w:val="18"/>
                      <w:szCs w:val="18"/>
                      <w:lang w:val="en-CA" w:eastAsia="en-CA"/>
                    </w:rPr>
                  </w:pPr>
                  <w:r w:rsidRPr="00BC2D22">
                    <w:rPr>
                      <w:rFonts w:ascii="Arial" w:eastAsiaTheme="minorEastAsia" w:hAnsi="Arial" w:cs="Arial"/>
                      <w:b/>
                      <w:bCs/>
                      <w:iCs/>
                      <w:color w:val="000000"/>
                      <w:sz w:val="18"/>
                      <w:szCs w:val="18"/>
                      <w:lang w:val="en-CA" w:eastAsia="en-CA"/>
                    </w:rPr>
                    <w:lastRenderedPageBreak/>
                    <w:t>Report of the Independent Auditor on the Summarized Financial Statements</w:t>
                  </w:r>
                </w:p>
              </w:tc>
            </w:tr>
          </w:tbl>
          <w:p w:rsidR="00871E84" w:rsidRDefault="00871E84" w:rsidP="005D067F">
            <w:pPr>
              <w:widowControl w:val="0"/>
              <w:autoSpaceDE w:val="0"/>
              <w:autoSpaceDN w:val="0"/>
              <w:adjustRightInd w:val="0"/>
              <w:ind w:right="-124"/>
              <w:rPr>
                <w:rFonts w:ascii="Arial" w:eastAsiaTheme="minorEastAsia" w:hAnsi="Arial" w:cs="Arial"/>
                <w:iCs/>
                <w:color w:val="000000"/>
                <w:sz w:val="18"/>
                <w:szCs w:val="18"/>
                <w:lang w:val="en-CA" w:eastAsia="en-CA"/>
              </w:rPr>
            </w:pPr>
          </w:p>
          <w:p w:rsidR="00871E84" w:rsidRPr="00DA4373" w:rsidRDefault="00871E84" w:rsidP="005D067F">
            <w:pPr>
              <w:widowControl w:val="0"/>
              <w:autoSpaceDE w:val="0"/>
              <w:autoSpaceDN w:val="0"/>
              <w:adjustRightInd w:val="0"/>
              <w:ind w:right="-124"/>
              <w:rPr>
                <w:rFonts w:ascii="Arial" w:eastAsiaTheme="minorEastAsia" w:hAnsi="Arial" w:cs="Arial"/>
                <w:i/>
                <w:iCs/>
                <w:color w:val="000000"/>
                <w:sz w:val="18"/>
                <w:szCs w:val="18"/>
                <w:lang w:val="en-CA" w:eastAsia="en-CA"/>
              </w:rPr>
            </w:pPr>
            <w:r w:rsidRPr="00DA4373">
              <w:rPr>
                <w:rFonts w:ascii="Arial" w:eastAsiaTheme="minorEastAsia" w:hAnsi="Arial" w:cs="Arial"/>
                <w:iCs/>
                <w:color w:val="000000"/>
                <w:sz w:val="18"/>
                <w:szCs w:val="18"/>
                <w:lang w:val="en-CA" w:eastAsia="en-CA"/>
              </w:rPr>
              <w:t>To the Members of Compensation Employees Credit Union:</w:t>
            </w:r>
          </w:p>
          <w:p w:rsidR="00871E84" w:rsidRPr="00DA4373" w:rsidRDefault="00871E84" w:rsidP="005D067F">
            <w:pPr>
              <w:widowControl w:val="0"/>
              <w:autoSpaceDE w:val="0"/>
              <w:autoSpaceDN w:val="0"/>
              <w:adjustRightInd w:val="0"/>
              <w:ind w:right="-124"/>
              <w:rPr>
                <w:rFonts w:ascii="Arial" w:eastAsiaTheme="minorEastAsia" w:hAnsi="Arial" w:cs="Arial"/>
                <w:i/>
                <w:iCs/>
                <w:color w:val="000000"/>
                <w:sz w:val="18"/>
                <w:szCs w:val="18"/>
                <w:lang w:val="en-CA" w:eastAsia="en-CA"/>
              </w:rPr>
            </w:pPr>
          </w:p>
          <w:p w:rsidR="00871E84" w:rsidRPr="00DA4373" w:rsidRDefault="00871E84" w:rsidP="005D067F">
            <w:pPr>
              <w:widowControl w:val="0"/>
              <w:autoSpaceDE w:val="0"/>
              <w:autoSpaceDN w:val="0"/>
              <w:adjustRightInd w:val="0"/>
              <w:ind w:right="-124"/>
              <w:jc w:val="both"/>
              <w:rPr>
                <w:rFonts w:ascii="Arial" w:eastAsiaTheme="minorEastAsia" w:hAnsi="Arial" w:cs="Arial"/>
                <w:iCs/>
                <w:color w:val="000000"/>
                <w:sz w:val="18"/>
                <w:szCs w:val="18"/>
                <w:lang w:val="en-CA" w:eastAsia="en-CA"/>
              </w:rPr>
            </w:pPr>
            <w:r w:rsidRPr="00DA4373">
              <w:rPr>
                <w:rFonts w:ascii="Arial" w:eastAsiaTheme="minorEastAsia" w:hAnsi="Arial" w:cs="Arial"/>
                <w:iCs/>
                <w:color w:val="000000"/>
                <w:sz w:val="18"/>
                <w:szCs w:val="18"/>
                <w:lang w:val="en-CA" w:eastAsia="en-CA"/>
              </w:rPr>
              <w:t>The accompanying summarized financial statements, which comprise the summarized statement of financial position as at December 31, 2017 and the summarized statements of comprehensive income and changes in members’ equity and cash flows for the year then ended, are derived from the audited financial statements, prepared in accordance with the International Financial Reporting Standards, of Compensation Employees Credit Union for the year ended December 31, 2017.  We expressed an unmodified audit opinion on those financial statements in our report dated February 27, 2018.</w:t>
            </w:r>
          </w:p>
          <w:p w:rsidR="00871E84" w:rsidRPr="00DA4373" w:rsidRDefault="00871E84" w:rsidP="005D067F">
            <w:pPr>
              <w:widowControl w:val="0"/>
              <w:autoSpaceDE w:val="0"/>
              <w:autoSpaceDN w:val="0"/>
              <w:adjustRightInd w:val="0"/>
              <w:ind w:right="-124"/>
              <w:jc w:val="both"/>
              <w:rPr>
                <w:rFonts w:ascii="Arial" w:eastAsiaTheme="minorEastAsia" w:hAnsi="Arial" w:cs="Arial"/>
                <w:i/>
                <w:iCs/>
                <w:color w:val="000000" w:themeColor="text1"/>
                <w:sz w:val="18"/>
                <w:szCs w:val="18"/>
                <w:lang w:val="en-CA" w:eastAsia="en-CA"/>
              </w:rPr>
            </w:pPr>
          </w:p>
          <w:p w:rsidR="00871E84" w:rsidRPr="00DA4373" w:rsidRDefault="00871E84" w:rsidP="005D067F">
            <w:pPr>
              <w:widowControl w:val="0"/>
              <w:autoSpaceDE w:val="0"/>
              <w:autoSpaceDN w:val="0"/>
              <w:adjustRightInd w:val="0"/>
              <w:ind w:right="-124"/>
              <w:jc w:val="both"/>
              <w:rPr>
                <w:rFonts w:ascii="Arial" w:eastAsiaTheme="minorEastAsia" w:hAnsi="Arial" w:cs="Arial"/>
                <w:i/>
                <w:iCs/>
                <w:color w:val="000000" w:themeColor="text1"/>
                <w:sz w:val="18"/>
                <w:szCs w:val="18"/>
                <w:lang w:val="en-CA" w:eastAsia="en-CA"/>
              </w:rPr>
            </w:pPr>
            <w:r w:rsidRPr="00DA4373">
              <w:rPr>
                <w:rFonts w:ascii="Arial" w:eastAsiaTheme="minorEastAsia" w:hAnsi="Arial" w:cs="Arial"/>
                <w:iCs/>
                <w:color w:val="000000" w:themeColor="text1"/>
                <w:sz w:val="18"/>
                <w:szCs w:val="18"/>
                <w:lang w:val="en-CA" w:eastAsia="en-CA"/>
              </w:rPr>
              <w:t>The summarized financial statements do not contain all the disclosures required by International Financial Reporting Standards applied in the preparation of the audited financial statements of Compensation Employees Credit Union</w:t>
            </w:r>
            <w:r w:rsidRPr="00DA4373">
              <w:rPr>
                <w:rFonts w:ascii="Arial" w:eastAsiaTheme="minorEastAsia" w:hAnsi="Arial" w:cs="Arial"/>
                <w:iCs/>
                <w:color w:val="000000"/>
                <w:sz w:val="18"/>
                <w:szCs w:val="18"/>
                <w:lang w:val="en-CA" w:eastAsia="en-CA"/>
              </w:rPr>
              <w:t>.</w:t>
            </w:r>
            <w:r w:rsidRPr="00DA4373">
              <w:rPr>
                <w:rFonts w:ascii="Arial" w:eastAsiaTheme="minorEastAsia" w:hAnsi="Arial" w:cs="Arial"/>
                <w:iCs/>
                <w:color w:val="000000" w:themeColor="text1"/>
                <w:sz w:val="18"/>
                <w:szCs w:val="18"/>
                <w:lang w:val="en-CA" w:eastAsia="en-CA"/>
              </w:rPr>
              <w:t xml:space="preserve"> Reading the summarized financial statements, therefore, is not a substitute for reading the audited financial statements of Compensation Employees Credit Union</w:t>
            </w:r>
            <w:r w:rsidRPr="00DA4373">
              <w:rPr>
                <w:rFonts w:ascii="Arial" w:eastAsiaTheme="minorEastAsia" w:hAnsi="Arial" w:cs="Arial"/>
                <w:iCs/>
                <w:color w:val="000000"/>
                <w:sz w:val="18"/>
                <w:szCs w:val="18"/>
                <w:lang w:val="en-CA" w:eastAsia="en-CA"/>
              </w:rPr>
              <w:t>.</w:t>
            </w:r>
          </w:p>
          <w:p w:rsidR="00871E84" w:rsidRPr="00DA4373" w:rsidRDefault="00871E84" w:rsidP="005D067F">
            <w:pPr>
              <w:widowControl w:val="0"/>
              <w:autoSpaceDE w:val="0"/>
              <w:autoSpaceDN w:val="0"/>
              <w:adjustRightInd w:val="0"/>
              <w:ind w:right="-124"/>
              <w:jc w:val="both"/>
              <w:rPr>
                <w:rFonts w:ascii="Arial" w:eastAsiaTheme="minorEastAsia" w:hAnsi="Arial" w:cs="Arial"/>
                <w:b/>
                <w:iCs/>
                <w:color w:val="000000" w:themeColor="text1"/>
                <w:sz w:val="18"/>
                <w:szCs w:val="18"/>
                <w:lang w:val="en-CA" w:eastAsia="en-CA"/>
              </w:rPr>
            </w:pPr>
          </w:p>
          <w:p w:rsidR="00871E84" w:rsidRPr="00DA4373" w:rsidRDefault="00871E84" w:rsidP="005D067F">
            <w:pPr>
              <w:widowControl w:val="0"/>
              <w:autoSpaceDE w:val="0"/>
              <w:autoSpaceDN w:val="0"/>
              <w:adjustRightInd w:val="0"/>
              <w:ind w:right="-124"/>
              <w:jc w:val="both"/>
              <w:rPr>
                <w:rFonts w:ascii="Arial" w:eastAsiaTheme="minorEastAsia" w:hAnsi="Arial" w:cs="Arial"/>
                <w:i/>
                <w:iCs/>
                <w:color w:val="000000" w:themeColor="text1"/>
                <w:sz w:val="18"/>
                <w:szCs w:val="18"/>
                <w:lang w:val="en-CA" w:eastAsia="en-CA"/>
              </w:rPr>
            </w:pPr>
            <w:r w:rsidRPr="00DA4373">
              <w:rPr>
                <w:rFonts w:ascii="Arial" w:eastAsiaTheme="minorEastAsia" w:hAnsi="Arial" w:cs="Arial"/>
                <w:i/>
                <w:iCs/>
                <w:color w:val="000000" w:themeColor="text1"/>
                <w:sz w:val="18"/>
                <w:szCs w:val="18"/>
                <w:lang w:val="en-CA" w:eastAsia="en-CA"/>
              </w:rPr>
              <w:t>Managers’ Responsibility for the Summarized Financial Statements</w:t>
            </w:r>
          </w:p>
          <w:p w:rsidR="00871E84" w:rsidRPr="00DA4373" w:rsidRDefault="00871E84" w:rsidP="005D067F">
            <w:pPr>
              <w:widowControl w:val="0"/>
              <w:autoSpaceDE w:val="0"/>
              <w:autoSpaceDN w:val="0"/>
              <w:adjustRightInd w:val="0"/>
              <w:ind w:right="-124"/>
              <w:jc w:val="both"/>
              <w:rPr>
                <w:rFonts w:ascii="Arial" w:eastAsiaTheme="minorEastAsia" w:hAnsi="Arial" w:cs="Arial"/>
                <w:iCs/>
                <w:color w:val="000000"/>
                <w:sz w:val="18"/>
                <w:szCs w:val="18"/>
                <w:lang w:val="en-CA" w:eastAsia="en-CA"/>
              </w:rPr>
            </w:pPr>
            <w:r w:rsidRPr="00DA4373">
              <w:rPr>
                <w:rFonts w:ascii="Arial" w:eastAsiaTheme="minorEastAsia" w:hAnsi="Arial" w:cs="Arial"/>
                <w:iCs/>
                <w:color w:val="000000" w:themeColor="text1"/>
                <w:sz w:val="18"/>
                <w:szCs w:val="18"/>
                <w:lang w:val="en-CA" w:eastAsia="en-CA"/>
              </w:rPr>
              <w:t>Management is responsible for the fair summarization of the complete audited financial statements of Compensation Employees Credit Union</w:t>
            </w:r>
            <w:r w:rsidRPr="00DA4373">
              <w:rPr>
                <w:rFonts w:ascii="Arial" w:eastAsiaTheme="minorEastAsia" w:hAnsi="Arial" w:cs="Arial"/>
                <w:iCs/>
                <w:color w:val="000000"/>
                <w:sz w:val="18"/>
                <w:szCs w:val="18"/>
                <w:lang w:val="en-CA" w:eastAsia="en-CA"/>
              </w:rPr>
              <w:t>.</w:t>
            </w:r>
          </w:p>
          <w:p w:rsidR="00871E84" w:rsidRPr="00DA4373" w:rsidRDefault="00871E84" w:rsidP="005D067F">
            <w:pPr>
              <w:widowControl w:val="0"/>
              <w:autoSpaceDE w:val="0"/>
              <w:autoSpaceDN w:val="0"/>
              <w:adjustRightInd w:val="0"/>
              <w:ind w:right="-124"/>
              <w:jc w:val="both"/>
              <w:rPr>
                <w:rFonts w:ascii="Arial" w:eastAsiaTheme="minorEastAsia" w:hAnsi="Arial" w:cs="Arial"/>
                <w:iCs/>
                <w:color w:val="000000" w:themeColor="text1"/>
                <w:sz w:val="18"/>
                <w:szCs w:val="18"/>
                <w:lang w:val="en-CA" w:eastAsia="en-CA"/>
              </w:rPr>
            </w:pPr>
          </w:p>
          <w:p w:rsidR="00871E84" w:rsidRPr="00DA4373" w:rsidRDefault="00871E84" w:rsidP="005D067F">
            <w:pPr>
              <w:widowControl w:val="0"/>
              <w:autoSpaceDE w:val="0"/>
              <w:autoSpaceDN w:val="0"/>
              <w:adjustRightInd w:val="0"/>
              <w:ind w:right="-124"/>
              <w:jc w:val="both"/>
              <w:rPr>
                <w:rFonts w:ascii="Arial" w:eastAsiaTheme="minorEastAsia" w:hAnsi="Arial" w:cs="Arial"/>
                <w:i/>
                <w:iCs/>
                <w:color w:val="000000" w:themeColor="text1"/>
                <w:sz w:val="18"/>
                <w:szCs w:val="18"/>
                <w:lang w:val="en-CA" w:eastAsia="en-CA"/>
              </w:rPr>
            </w:pPr>
            <w:r w:rsidRPr="00DA4373">
              <w:rPr>
                <w:rFonts w:ascii="Arial" w:eastAsiaTheme="minorEastAsia" w:hAnsi="Arial" w:cs="Arial"/>
                <w:i/>
                <w:iCs/>
                <w:color w:val="000000" w:themeColor="text1"/>
                <w:sz w:val="18"/>
                <w:szCs w:val="18"/>
                <w:lang w:val="en-CA" w:eastAsia="en-CA"/>
              </w:rPr>
              <w:t>Auditors’ Responsibility for the Summarized Financial Statements</w:t>
            </w:r>
          </w:p>
          <w:p w:rsidR="00871E84" w:rsidRPr="00DA4373" w:rsidRDefault="00871E84" w:rsidP="005D067F">
            <w:pPr>
              <w:ind w:right="-124"/>
              <w:jc w:val="both"/>
              <w:rPr>
                <w:rFonts w:ascii="Arial" w:hAnsi="Arial" w:cs="Arial"/>
                <w:iCs/>
                <w:color w:val="000000" w:themeColor="text1"/>
                <w:sz w:val="18"/>
                <w:szCs w:val="18"/>
              </w:rPr>
            </w:pPr>
            <w:r w:rsidRPr="00DA4373">
              <w:rPr>
                <w:rFonts w:ascii="Arial" w:hAnsi="Arial" w:cs="Arial"/>
                <w:iCs/>
                <w:color w:val="000000" w:themeColor="text1"/>
                <w:sz w:val="18"/>
                <w:szCs w:val="18"/>
              </w:rPr>
              <w:t xml:space="preserve">Our responsibility is to express an opinion on the summarized financial statements based on our procedures, which were conducted in accordance with Canadian Auditing Standards (CAS) 810, “Engagements to Report on Summary Financial Statements.” </w:t>
            </w:r>
          </w:p>
          <w:p w:rsidR="00871E84" w:rsidRPr="00DA4373" w:rsidRDefault="00871E84" w:rsidP="005D067F">
            <w:pPr>
              <w:ind w:right="-124"/>
              <w:jc w:val="both"/>
              <w:rPr>
                <w:rFonts w:ascii="Arial" w:hAnsi="Arial" w:cs="Arial"/>
                <w:iCs/>
                <w:color w:val="000000" w:themeColor="text1"/>
                <w:sz w:val="18"/>
                <w:szCs w:val="18"/>
              </w:rPr>
            </w:pPr>
          </w:p>
          <w:p w:rsidR="00871E84" w:rsidRPr="00DA4373" w:rsidRDefault="00871E84" w:rsidP="005D067F">
            <w:pPr>
              <w:ind w:right="-124"/>
              <w:jc w:val="both"/>
              <w:rPr>
                <w:rFonts w:ascii="Arial" w:hAnsi="Arial" w:cs="Arial"/>
                <w:i/>
                <w:iCs/>
                <w:color w:val="000000" w:themeColor="text1"/>
                <w:sz w:val="18"/>
                <w:szCs w:val="18"/>
              </w:rPr>
            </w:pPr>
            <w:r w:rsidRPr="00DA4373">
              <w:rPr>
                <w:rFonts w:ascii="Arial" w:hAnsi="Arial" w:cs="Arial"/>
                <w:i/>
                <w:iCs/>
                <w:color w:val="000000" w:themeColor="text1"/>
                <w:sz w:val="18"/>
                <w:szCs w:val="18"/>
              </w:rPr>
              <w:t>Opinion</w:t>
            </w:r>
          </w:p>
          <w:p w:rsidR="00871E84" w:rsidRPr="00DA4373" w:rsidRDefault="00871E84" w:rsidP="005D067F">
            <w:pPr>
              <w:ind w:right="-124"/>
              <w:jc w:val="both"/>
              <w:rPr>
                <w:rFonts w:ascii="Arial" w:hAnsi="Arial" w:cs="Arial"/>
                <w:iCs/>
                <w:color w:val="000000" w:themeColor="text1"/>
                <w:sz w:val="18"/>
                <w:szCs w:val="18"/>
              </w:rPr>
            </w:pPr>
            <w:r w:rsidRPr="00DA4373">
              <w:rPr>
                <w:rFonts w:ascii="Arial" w:hAnsi="Arial" w:cs="Arial"/>
                <w:iCs/>
                <w:color w:val="000000" w:themeColor="text1"/>
                <w:sz w:val="18"/>
                <w:szCs w:val="18"/>
              </w:rPr>
              <w:t>In our opinion, the summarized financial statements derived from the audited financial statements of Compensation Employees Credit Union for the year ended December 31, 2017 are a fair summary of those financial statements.</w:t>
            </w:r>
          </w:p>
          <w:p w:rsidR="00871E84" w:rsidRPr="00DA4373" w:rsidRDefault="00871E84" w:rsidP="005D067F">
            <w:pPr>
              <w:rPr>
                <w:rFonts w:ascii="Arial" w:eastAsiaTheme="minorEastAsia" w:hAnsi="Arial" w:cs="Arial"/>
                <w:b/>
                <w:bCs/>
                <w:iCs/>
                <w:color w:val="000000"/>
                <w:sz w:val="18"/>
                <w:szCs w:val="18"/>
                <w:lang w:val="en-CA" w:eastAsia="en-CA"/>
              </w:rPr>
            </w:pPr>
            <w:r w:rsidRPr="00DA4373">
              <w:rPr>
                <w:rFonts w:ascii="Arial" w:eastAsiaTheme="minorEastAsia" w:hAnsi="Arial" w:cs="Arial"/>
                <w:b/>
                <w:bCs/>
                <w:iCs/>
                <w:noProof/>
                <w:color w:val="000000"/>
                <w:sz w:val="18"/>
                <w:szCs w:val="18"/>
                <w:lang w:val="en-CA" w:eastAsia="en-CA"/>
              </w:rPr>
              <w:drawing>
                <wp:anchor distT="0" distB="0" distL="114300" distR="114300" simplePos="0" relativeHeight="251659264" behindDoc="0" locked="0" layoutInCell="1" allowOverlap="1" wp14:anchorId="304EF69C" wp14:editId="60577C30">
                  <wp:simplePos x="0" y="0"/>
                  <wp:positionH relativeFrom="margin">
                    <wp:posOffset>5019675</wp:posOffset>
                  </wp:positionH>
                  <wp:positionV relativeFrom="margin">
                    <wp:posOffset>3533775</wp:posOffset>
                  </wp:positionV>
                  <wp:extent cx="1085850" cy="257175"/>
                  <wp:effectExtent l="19050" t="0" r="0" b="0"/>
                  <wp:wrapSquare wrapText="bothSides"/>
                  <wp:docPr id="2" name="Picture 0" descr="MNP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P Signature.tif"/>
                          <pic:cNvPicPr/>
                        </pic:nvPicPr>
                        <pic:blipFill>
                          <a:blip r:embed="rId9" cstate="screen"/>
                          <a:stretch>
                            <a:fillRect/>
                          </a:stretch>
                        </pic:blipFill>
                        <pic:spPr>
                          <a:xfrm>
                            <a:off x="0" y="0"/>
                            <a:ext cx="1085850" cy="257175"/>
                          </a:xfrm>
                          <a:prstGeom prst="rect">
                            <a:avLst/>
                          </a:prstGeom>
                          <a:noFill/>
                          <a:ln>
                            <a:noFill/>
                          </a:ln>
                        </pic:spPr>
                      </pic:pic>
                    </a:graphicData>
                  </a:graphic>
                </wp:anchor>
              </w:drawing>
            </w:r>
            <w:r w:rsidRPr="00DA4373">
              <w:rPr>
                <w:rFonts w:ascii="Arial" w:eastAsiaTheme="minorEastAsia" w:hAnsi="Arial" w:cs="Arial"/>
                <w:b/>
                <w:bCs/>
                <w:iCs/>
                <w:color w:val="000000"/>
                <w:sz w:val="18"/>
                <w:szCs w:val="18"/>
                <w:lang w:val="en-CA" w:eastAsia="en-CA"/>
              </w:rPr>
              <w:tab/>
            </w:r>
          </w:p>
          <w:p w:rsidR="00871E84" w:rsidRPr="00DA4373" w:rsidRDefault="00871E84" w:rsidP="005D067F">
            <w:pPr>
              <w:rPr>
                <w:rFonts w:ascii="Arial" w:eastAsiaTheme="minorEastAsia" w:hAnsi="Arial" w:cs="Arial"/>
                <w:bCs/>
                <w:iCs/>
                <w:color w:val="000000"/>
                <w:sz w:val="18"/>
                <w:szCs w:val="18"/>
                <w:lang w:val="en-CA" w:eastAsia="en-CA"/>
              </w:rPr>
            </w:pPr>
            <w:r w:rsidRPr="00DA4373">
              <w:rPr>
                <w:rFonts w:ascii="Arial" w:eastAsiaTheme="minorEastAsia" w:hAnsi="Arial" w:cs="Arial"/>
                <w:bCs/>
                <w:iCs/>
                <w:color w:val="000000"/>
                <w:sz w:val="18"/>
                <w:szCs w:val="18"/>
                <w:lang w:val="en-CA" w:eastAsia="en-CA"/>
              </w:rPr>
              <w:t>Abbotsford, BC</w:t>
            </w:r>
            <w:r w:rsidRPr="00DA4373">
              <w:rPr>
                <w:rFonts w:ascii="Arial" w:eastAsiaTheme="minorEastAsia" w:hAnsi="Arial" w:cs="Arial"/>
                <w:bCs/>
                <w:iCs/>
                <w:color w:val="000000"/>
                <w:sz w:val="18"/>
                <w:szCs w:val="18"/>
                <w:lang w:val="en-CA" w:eastAsia="en-CA"/>
              </w:rPr>
              <w:tab/>
            </w:r>
            <w:r w:rsidRPr="00DA4373">
              <w:rPr>
                <w:rFonts w:ascii="Arial" w:eastAsiaTheme="minorEastAsia" w:hAnsi="Arial" w:cs="Arial"/>
                <w:bCs/>
                <w:iCs/>
                <w:color w:val="000000"/>
                <w:sz w:val="18"/>
                <w:szCs w:val="18"/>
                <w:lang w:val="en-CA" w:eastAsia="en-CA"/>
              </w:rPr>
              <w:tab/>
            </w:r>
            <w:r w:rsidRPr="00DA4373">
              <w:rPr>
                <w:rFonts w:ascii="Arial" w:eastAsiaTheme="minorEastAsia" w:hAnsi="Arial" w:cs="Arial"/>
                <w:bCs/>
                <w:iCs/>
                <w:color w:val="000000"/>
                <w:sz w:val="18"/>
                <w:szCs w:val="18"/>
                <w:lang w:val="en-CA" w:eastAsia="en-CA"/>
              </w:rPr>
              <w:tab/>
            </w:r>
            <w:r w:rsidRPr="00DA4373">
              <w:rPr>
                <w:rFonts w:ascii="Arial" w:eastAsiaTheme="minorEastAsia" w:hAnsi="Arial" w:cs="Arial"/>
                <w:bCs/>
                <w:iCs/>
                <w:color w:val="000000"/>
                <w:sz w:val="18"/>
                <w:szCs w:val="18"/>
                <w:lang w:val="en-CA" w:eastAsia="en-CA"/>
              </w:rPr>
              <w:tab/>
            </w:r>
            <w:r w:rsidRPr="00DA4373">
              <w:rPr>
                <w:rFonts w:ascii="Arial" w:eastAsiaTheme="minorEastAsia" w:hAnsi="Arial" w:cs="Arial"/>
                <w:bCs/>
                <w:iCs/>
                <w:color w:val="000000"/>
                <w:sz w:val="18"/>
                <w:szCs w:val="18"/>
                <w:lang w:val="en-CA" w:eastAsia="en-CA"/>
              </w:rPr>
              <w:tab/>
            </w:r>
            <w:r w:rsidRPr="00DA4373">
              <w:rPr>
                <w:rFonts w:ascii="Arial" w:eastAsiaTheme="minorEastAsia" w:hAnsi="Arial" w:cs="Arial"/>
                <w:bCs/>
                <w:iCs/>
                <w:color w:val="000000"/>
                <w:sz w:val="18"/>
                <w:szCs w:val="18"/>
                <w:lang w:val="en-CA" w:eastAsia="en-CA"/>
              </w:rPr>
              <w:tab/>
            </w:r>
            <w:r w:rsidRPr="00DA4373">
              <w:rPr>
                <w:rFonts w:ascii="Arial" w:eastAsiaTheme="minorEastAsia" w:hAnsi="Arial" w:cs="Arial"/>
                <w:bCs/>
                <w:iCs/>
                <w:color w:val="000000"/>
                <w:sz w:val="18"/>
                <w:szCs w:val="18"/>
                <w:lang w:val="en-CA" w:eastAsia="en-CA"/>
              </w:rPr>
              <w:tab/>
            </w:r>
            <w:r w:rsidRPr="00DA4373">
              <w:rPr>
                <w:rFonts w:ascii="Arial" w:eastAsiaTheme="minorEastAsia" w:hAnsi="Arial" w:cs="Arial"/>
                <w:bCs/>
                <w:iCs/>
                <w:color w:val="000000"/>
                <w:sz w:val="18"/>
                <w:szCs w:val="18"/>
                <w:lang w:val="en-CA" w:eastAsia="en-CA"/>
              </w:rPr>
              <w:tab/>
            </w:r>
            <w:r w:rsidRPr="00DA4373">
              <w:rPr>
                <w:rFonts w:ascii="Arial" w:eastAsiaTheme="minorEastAsia" w:hAnsi="Arial" w:cs="Arial"/>
                <w:bCs/>
                <w:iCs/>
                <w:color w:val="000000"/>
                <w:sz w:val="18"/>
                <w:szCs w:val="18"/>
                <w:lang w:val="en-CA" w:eastAsia="en-CA"/>
              </w:rPr>
              <w:tab/>
            </w:r>
            <w:r w:rsidRPr="00DA4373">
              <w:rPr>
                <w:rFonts w:ascii="Arial" w:eastAsiaTheme="minorEastAsia" w:hAnsi="Arial" w:cs="Arial"/>
                <w:bCs/>
                <w:iCs/>
                <w:color w:val="000000"/>
                <w:sz w:val="18"/>
                <w:szCs w:val="18"/>
                <w:lang w:val="en-CA" w:eastAsia="en-CA"/>
              </w:rPr>
              <w:tab/>
            </w:r>
          </w:p>
          <w:p w:rsidR="00871E84" w:rsidRPr="00DA4373" w:rsidRDefault="00871E84" w:rsidP="005D067F">
            <w:pPr>
              <w:ind w:right="-124"/>
              <w:rPr>
                <w:rFonts w:ascii="Arial" w:eastAsiaTheme="minorEastAsia" w:hAnsi="Arial" w:cs="Arial"/>
                <w:b/>
                <w:bCs/>
                <w:iCs/>
                <w:color w:val="000000"/>
                <w:sz w:val="18"/>
                <w:szCs w:val="18"/>
                <w:lang w:val="en-CA" w:eastAsia="en-CA"/>
              </w:rPr>
            </w:pPr>
            <w:r w:rsidRPr="00DA4373">
              <w:rPr>
                <w:rFonts w:ascii="Arial" w:eastAsiaTheme="minorEastAsia" w:hAnsi="Arial" w:cs="Arial"/>
                <w:bCs/>
                <w:iCs/>
                <w:color w:val="000000"/>
                <w:sz w:val="18"/>
                <w:szCs w:val="18"/>
                <w:lang w:val="en-CA" w:eastAsia="en-CA"/>
              </w:rPr>
              <w:t>February 27, 2018</w:t>
            </w:r>
            <w:r w:rsidRPr="00DA4373">
              <w:rPr>
                <w:rFonts w:ascii="Arial" w:eastAsiaTheme="minorEastAsia" w:hAnsi="Arial" w:cs="Arial"/>
                <w:b/>
                <w:bCs/>
                <w:iCs/>
                <w:color w:val="000000"/>
                <w:sz w:val="18"/>
                <w:szCs w:val="18"/>
                <w:lang w:val="en-CA" w:eastAsia="en-CA"/>
              </w:rPr>
              <w:tab/>
            </w:r>
            <w:r w:rsidRPr="00DA4373">
              <w:rPr>
                <w:rFonts w:ascii="Arial" w:eastAsiaTheme="minorEastAsia" w:hAnsi="Arial" w:cs="Arial"/>
                <w:b/>
                <w:bCs/>
                <w:iCs/>
                <w:color w:val="000000"/>
                <w:sz w:val="18"/>
                <w:szCs w:val="18"/>
                <w:lang w:val="en-CA" w:eastAsia="en-CA"/>
              </w:rPr>
              <w:tab/>
            </w:r>
            <w:r w:rsidRPr="00DA4373">
              <w:rPr>
                <w:rFonts w:ascii="Arial" w:eastAsiaTheme="minorEastAsia" w:hAnsi="Arial" w:cs="Arial"/>
                <w:b/>
                <w:bCs/>
                <w:iCs/>
                <w:color w:val="000000"/>
                <w:sz w:val="18"/>
                <w:szCs w:val="18"/>
                <w:lang w:val="en-CA" w:eastAsia="en-CA"/>
              </w:rPr>
              <w:tab/>
            </w:r>
            <w:r w:rsidRPr="00DA4373">
              <w:rPr>
                <w:rFonts w:ascii="Arial" w:eastAsiaTheme="minorEastAsia" w:hAnsi="Arial" w:cs="Arial"/>
                <w:b/>
                <w:bCs/>
                <w:iCs/>
                <w:color w:val="000000"/>
                <w:sz w:val="18"/>
                <w:szCs w:val="18"/>
                <w:lang w:val="en-CA" w:eastAsia="en-CA"/>
              </w:rPr>
              <w:tab/>
            </w:r>
            <w:r w:rsidRPr="00DA4373">
              <w:rPr>
                <w:rFonts w:ascii="Arial" w:eastAsiaTheme="minorEastAsia" w:hAnsi="Arial" w:cs="Arial"/>
                <w:b/>
                <w:bCs/>
                <w:iCs/>
                <w:color w:val="000000"/>
                <w:sz w:val="18"/>
                <w:szCs w:val="18"/>
                <w:lang w:val="en-CA" w:eastAsia="en-CA"/>
              </w:rPr>
              <w:tab/>
            </w:r>
            <w:r w:rsidRPr="00DA4373">
              <w:rPr>
                <w:rFonts w:ascii="Arial" w:eastAsiaTheme="minorEastAsia" w:hAnsi="Arial" w:cs="Arial"/>
                <w:b/>
                <w:bCs/>
                <w:iCs/>
                <w:color w:val="000000"/>
                <w:sz w:val="18"/>
                <w:szCs w:val="18"/>
                <w:lang w:val="en-CA" w:eastAsia="en-CA"/>
              </w:rPr>
              <w:tab/>
            </w:r>
            <w:r w:rsidRPr="00DA4373">
              <w:rPr>
                <w:rFonts w:ascii="Arial" w:eastAsiaTheme="minorEastAsia" w:hAnsi="Arial" w:cs="Arial"/>
                <w:b/>
                <w:bCs/>
                <w:iCs/>
                <w:color w:val="000000"/>
                <w:sz w:val="18"/>
                <w:szCs w:val="18"/>
                <w:lang w:val="en-CA" w:eastAsia="en-CA"/>
              </w:rPr>
              <w:tab/>
            </w:r>
            <w:r w:rsidRPr="00DA4373">
              <w:rPr>
                <w:rFonts w:ascii="Arial" w:eastAsiaTheme="minorEastAsia" w:hAnsi="Arial" w:cs="Arial"/>
                <w:b/>
                <w:bCs/>
                <w:iCs/>
                <w:color w:val="000000"/>
                <w:sz w:val="18"/>
                <w:szCs w:val="18"/>
                <w:lang w:val="en-CA" w:eastAsia="en-CA"/>
              </w:rPr>
              <w:tab/>
            </w:r>
            <w:r w:rsidRPr="00DA4373">
              <w:rPr>
                <w:rFonts w:ascii="Arial" w:eastAsiaTheme="minorEastAsia" w:hAnsi="Arial" w:cs="Arial"/>
                <w:bCs/>
                <w:iCs/>
                <w:color w:val="000000"/>
                <w:sz w:val="18"/>
                <w:szCs w:val="18"/>
                <w:lang w:val="en-CA" w:eastAsia="en-CA"/>
              </w:rPr>
              <w:t>Chartered Professional Accountants</w:t>
            </w:r>
            <w:r w:rsidRPr="00DA4373">
              <w:rPr>
                <w:rFonts w:ascii="Arial" w:eastAsiaTheme="minorEastAsia" w:hAnsi="Arial" w:cs="Arial"/>
                <w:b/>
                <w:bCs/>
                <w:iCs/>
                <w:color w:val="000000"/>
                <w:sz w:val="18"/>
                <w:szCs w:val="18"/>
                <w:lang w:val="en-CA" w:eastAsia="en-CA"/>
              </w:rPr>
              <w:tab/>
            </w:r>
          </w:p>
          <w:p w:rsidR="00871E84" w:rsidRPr="00DA4373" w:rsidRDefault="00871E84" w:rsidP="005D067F">
            <w:pPr>
              <w:widowControl w:val="0"/>
              <w:tabs>
                <w:tab w:val="right" w:pos="9360"/>
              </w:tabs>
              <w:autoSpaceDE w:val="0"/>
              <w:autoSpaceDN w:val="0"/>
              <w:adjustRightInd w:val="0"/>
              <w:ind w:right="-125"/>
              <w:jc w:val="center"/>
              <w:outlineLvl w:val="0"/>
              <w:rPr>
                <w:rFonts w:ascii="Arial" w:eastAsiaTheme="minorEastAsia" w:hAnsi="Arial" w:cs="Arial"/>
                <w:b/>
                <w:bCs/>
                <w:iCs/>
                <w:color w:val="000000"/>
                <w:sz w:val="18"/>
                <w:szCs w:val="18"/>
                <w:lang w:val="en-CA" w:eastAsia="en-CA"/>
              </w:rPr>
            </w:pPr>
          </w:p>
          <w:p w:rsidR="00871E84" w:rsidRPr="00DA4373" w:rsidRDefault="00871E84" w:rsidP="005D067F">
            <w:pPr>
              <w:widowControl w:val="0"/>
              <w:tabs>
                <w:tab w:val="right" w:pos="9360"/>
              </w:tabs>
              <w:autoSpaceDE w:val="0"/>
              <w:autoSpaceDN w:val="0"/>
              <w:adjustRightInd w:val="0"/>
              <w:ind w:right="-125"/>
              <w:jc w:val="center"/>
              <w:outlineLvl w:val="0"/>
              <w:rPr>
                <w:rFonts w:ascii="Arial" w:eastAsiaTheme="minorEastAsia" w:hAnsi="Arial" w:cs="Arial"/>
                <w:b/>
                <w:bCs/>
                <w:iCs/>
                <w:color w:val="000000"/>
                <w:sz w:val="18"/>
                <w:szCs w:val="18"/>
                <w:lang w:val="en-CA" w:eastAsia="en-CA"/>
              </w:rPr>
            </w:pPr>
            <w:r w:rsidRPr="00DA4373">
              <w:rPr>
                <w:rFonts w:ascii="Arial" w:eastAsiaTheme="minorEastAsia" w:hAnsi="Arial" w:cs="Arial"/>
                <w:b/>
                <w:bCs/>
                <w:iCs/>
                <w:color w:val="000000"/>
                <w:sz w:val="18"/>
                <w:szCs w:val="18"/>
                <w:lang w:val="en-CA" w:eastAsia="en-CA"/>
              </w:rPr>
              <w:t>Compensation Employees Credit Union</w:t>
            </w:r>
          </w:p>
          <w:p w:rsidR="00871E84" w:rsidRPr="00DA4373" w:rsidRDefault="00871E84" w:rsidP="005D067F">
            <w:pPr>
              <w:widowControl w:val="0"/>
              <w:tabs>
                <w:tab w:val="right" w:pos="9360"/>
              </w:tabs>
              <w:autoSpaceDE w:val="0"/>
              <w:autoSpaceDN w:val="0"/>
              <w:adjustRightInd w:val="0"/>
              <w:ind w:right="-125"/>
              <w:jc w:val="center"/>
              <w:rPr>
                <w:rFonts w:ascii="Arial" w:eastAsiaTheme="minorEastAsia" w:hAnsi="Arial" w:cs="Arial"/>
                <w:b/>
                <w:bCs/>
                <w:iCs/>
                <w:color w:val="000000"/>
                <w:sz w:val="18"/>
                <w:szCs w:val="18"/>
                <w:lang w:val="en-CA" w:eastAsia="en-CA"/>
              </w:rPr>
            </w:pPr>
            <w:r w:rsidRPr="00DA4373">
              <w:rPr>
                <w:rFonts w:ascii="Arial" w:eastAsiaTheme="minorEastAsia" w:hAnsi="Arial" w:cs="Arial"/>
                <w:b/>
                <w:bCs/>
                <w:iCs/>
                <w:color w:val="000000"/>
                <w:sz w:val="18"/>
                <w:szCs w:val="18"/>
                <w:lang w:val="en-CA" w:eastAsia="en-CA"/>
              </w:rPr>
              <w:t>Summarized Statement of Financial Position</w:t>
            </w:r>
          </w:p>
          <w:p w:rsidR="00871E84" w:rsidRPr="00DA4373" w:rsidRDefault="00871E84" w:rsidP="005D067F">
            <w:pPr>
              <w:widowControl w:val="0"/>
              <w:tabs>
                <w:tab w:val="right" w:pos="9360"/>
              </w:tabs>
              <w:autoSpaceDE w:val="0"/>
              <w:autoSpaceDN w:val="0"/>
              <w:adjustRightInd w:val="0"/>
              <w:ind w:right="-125"/>
              <w:jc w:val="center"/>
              <w:rPr>
                <w:rFonts w:ascii="Arial" w:eastAsiaTheme="minorEastAsia" w:hAnsi="Arial" w:cs="Arial"/>
                <w:color w:val="000000"/>
                <w:sz w:val="18"/>
                <w:szCs w:val="18"/>
                <w:lang w:val="en-CA" w:eastAsia="en-CA"/>
              </w:rPr>
            </w:pPr>
            <w:r w:rsidRPr="00DA4373">
              <w:rPr>
                <w:rFonts w:ascii="Arial" w:eastAsiaTheme="minorEastAsia" w:hAnsi="Arial" w:cs="Arial"/>
                <w:b/>
                <w:bCs/>
                <w:iCs/>
                <w:color w:val="000000"/>
                <w:sz w:val="18"/>
                <w:szCs w:val="18"/>
                <w:lang w:val="en-CA" w:eastAsia="en-CA"/>
              </w:rPr>
              <w:t>December 31, 2017</w:t>
            </w:r>
          </w:p>
          <w:tbl>
            <w:tblPr>
              <w:tblpPr w:leftFromText="180" w:rightFromText="180" w:vertAnchor="text" w:horzAnchor="margin" w:tblpX="-115" w:tblpY="36"/>
              <w:tblW w:w="10490" w:type="dxa"/>
              <w:tblLayout w:type="fixed"/>
              <w:tblLook w:val="04A0" w:firstRow="1" w:lastRow="0" w:firstColumn="1" w:lastColumn="0" w:noHBand="0" w:noVBand="1"/>
            </w:tblPr>
            <w:tblGrid>
              <w:gridCol w:w="6521"/>
              <w:gridCol w:w="1559"/>
              <w:gridCol w:w="1276"/>
              <w:gridCol w:w="1134"/>
            </w:tblGrid>
            <w:tr w:rsidR="00871E84" w:rsidRPr="00DA4373" w:rsidTr="005D067F">
              <w:trPr>
                <w:trHeight w:val="450"/>
              </w:trPr>
              <w:tc>
                <w:tcPr>
                  <w:tcW w:w="6521" w:type="dxa"/>
                  <w:tcBorders>
                    <w:bottom w:val="single" w:sz="8" w:space="0" w:color="000000" w:themeColor="text1"/>
                  </w:tcBorders>
                  <w:tcMar>
                    <w:top w:w="0" w:type="dxa"/>
                    <w:left w:w="27" w:type="dxa"/>
                    <w:bottom w:w="0" w:type="dxa"/>
                    <w:right w:w="28" w:type="dxa"/>
                  </w:tcMar>
                  <w:vAlign w:val="center"/>
                  <w:hideMark/>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p>
              </w:tc>
              <w:tc>
                <w:tcPr>
                  <w:tcW w:w="1559" w:type="dxa"/>
                  <w:tcBorders>
                    <w:bottom w:val="single" w:sz="8" w:space="0" w:color="000000" w:themeColor="text1"/>
                  </w:tcBorders>
                  <w:vAlign w:val="center"/>
                </w:tcPr>
                <w:p w:rsidR="00871E84" w:rsidRPr="00DA4373" w:rsidRDefault="00871E84" w:rsidP="005D067F">
                  <w:pPr>
                    <w:widowControl w:val="0"/>
                    <w:autoSpaceDE w:val="0"/>
                    <w:autoSpaceDN w:val="0"/>
                    <w:adjustRightInd w:val="0"/>
                    <w:ind w:left="142"/>
                    <w:jc w:val="right"/>
                    <w:rPr>
                      <w:rFonts w:ascii="Arial" w:eastAsiaTheme="minorEastAsia" w:hAnsi="Arial" w:cs="Arial"/>
                      <w:b/>
                      <w:bCs/>
                      <w:i/>
                      <w:iCs/>
                      <w:sz w:val="18"/>
                      <w:szCs w:val="18"/>
                      <w:lang w:val="en-CA" w:eastAsia="en-CA"/>
                    </w:rPr>
                  </w:pPr>
                </w:p>
              </w:tc>
              <w:tc>
                <w:tcPr>
                  <w:tcW w:w="1276" w:type="dxa"/>
                  <w:tcBorders>
                    <w:bottom w:val="single" w:sz="8" w:space="0" w:color="000000" w:themeColor="text1"/>
                  </w:tcBorders>
                  <w:tcMar>
                    <w:top w:w="0" w:type="dxa"/>
                    <w:left w:w="28" w:type="dxa"/>
                    <w:bottom w:w="0" w:type="dxa"/>
                    <w:right w:w="28" w:type="dxa"/>
                  </w:tcMar>
                  <w:vAlign w:val="center"/>
                  <w:hideMark/>
                </w:tcPr>
                <w:p w:rsidR="00871E84" w:rsidRPr="00DA4373" w:rsidRDefault="00871E84" w:rsidP="005D067F">
                  <w:pPr>
                    <w:widowControl w:val="0"/>
                    <w:autoSpaceDE w:val="0"/>
                    <w:autoSpaceDN w:val="0"/>
                    <w:adjustRightInd w:val="0"/>
                    <w:ind w:left="142"/>
                    <w:jc w:val="right"/>
                    <w:rPr>
                      <w:rFonts w:ascii="Arial" w:eastAsiaTheme="minorEastAsia" w:hAnsi="Arial" w:cs="Arial"/>
                      <w:b/>
                      <w:bCs/>
                      <w:i/>
                      <w:iCs/>
                      <w:sz w:val="18"/>
                      <w:szCs w:val="18"/>
                      <w:lang w:val="en-CA" w:eastAsia="en-CA"/>
                    </w:rPr>
                  </w:pPr>
                  <w:r w:rsidRPr="00DA4373">
                    <w:rPr>
                      <w:rFonts w:ascii="Arial" w:eastAsiaTheme="minorEastAsia" w:hAnsi="Arial" w:cs="Arial"/>
                      <w:b/>
                      <w:bCs/>
                      <w:i/>
                      <w:iCs/>
                      <w:sz w:val="18"/>
                      <w:szCs w:val="18"/>
                      <w:lang w:val="en-CA" w:eastAsia="en-CA"/>
                    </w:rPr>
                    <w:t>2017</w:t>
                  </w:r>
                </w:p>
              </w:tc>
              <w:tc>
                <w:tcPr>
                  <w:tcW w:w="1134" w:type="dxa"/>
                  <w:tcBorders>
                    <w:bottom w:val="single" w:sz="8" w:space="0" w:color="000000" w:themeColor="text1"/>
                  </w:tcBorders>
                  <w:tcMar>
                    <w:top w:w="0" w:type="dxa"/>
                    <w:left w:w="28" w:type="dxa"/>
                    <w:bottom w:w="0" w:type="dxa"/>
                    <w:right w:w="28" w:type="dxa"/>
                  </w:tcMar>
                  <w:vAlign w:val="center"/>
                  <w:hideMark/>
                </w:tcPr>
                <w:p w:rsidR="00871E84" w:rsidRPr="00DA4373" w:rsidRDefault="00871E84" w:rsidP="005D067F">
                  <w:pPr>
                    <w:widowControl w:val="0"/>
                    <w:autoSpaceDE w:val="0"/>
                    <w:autoSpaceDN w:val="0"/>
                    <w:adjustRightInd w:val="0"/>
                    <w:ind w:left="142"/>
                    <w:jc w:val="right"/>
                    <w:rPr>
                      <w:rFonts w:ascii="Arial" w:eastAsiaTheme="minorEastAsia" w:hAnsi="Arial" w:cs="Arial"/>
                      <w:i/>
                      <w:iCs/>
                      <w:sz w:val="18"/>
                      <w:szCs w:val="18"/>
                      <w:lang w:val="en-CA" w:eastAsia="en-CA"/>
                    </w:rPr>
                  </w:pPr>
                  <w:r w:rsidRPr="00DA4373">
                    <w:rPr>
                      <w:rFonts w:ascii="Arial" w:eastAsiaTheme="minorEastAsia" w:hAnsi="Arial" w:cs="Arial"/>
                      <w:i/>
                      <w:iCs/>
                      <w:sz w:val="18"/>
                      <w:szCs w:val="18"/>
                      <w:lang w:val="en-CA" w:eastAsia="en-CA"/>
                    </w:rPr>
                    <w:t>2016</w:t>
                  </w:r>
                </w:p>
              </w:tc>
            </w:tr>
            <w:tr w:rsidR="00871E84" w:rsidRPr="00DA4373" w:rsidTr="005D067F">
              <w:trPr>
                <w:trHeight w:val="266"/>
              </w:trPr>
              <w:tc>
                <w:tcPr>
                  <w:tcW w:w="6521" w:type="dxa"/>
                  <w:tcBorders>
                    <w:top w:val="single" w:sz="8" w:space="0" w:color="000000" w:themeColor="text1"/>
                  </w:tcBorders>
                  <w:tcMar>
                    <w:top w:w="0" w:type="dxa"/>
                    <w:left w:w="27" w:type="dxa"/>
                    <w:bottom w:w="0" w:type="dxa"/>
                    <w:right w:w="28" w:type="dxa"/>
                  </w:tcMar>
                  <w:vAlign w:val="center"/>
                  <w:hideMark/>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Assets</w:t>
                  </w:r>
                </w:p>
              </w:tc>
              <w:tc>
                <w:tcPr>
                  <w:tcW w:w="1559" w:type="dxa"/>
                  <w:tcBorders>
                    <w:top w:val="single" w:sz="8" w:space="0" w:color="000000" w:themeColor="text1"/>
                  </w:tcBorders>
                  <w:vAlign w:val="center"/>
                </w:tcPr>
                <w:p w:rsidR="00871E84" w:rsidRPr="00DA4373" w:rsidRDefault="00871E84" w:rsidP="005D067F">
                  <w:pPr>
                    <w:widowControl w:val="0"/>
                    <w:autoSpaceDE w:val="0"/>
                    <w:autoSpaceDN w:val="0"/>
                    <w:adjustRightInd w:val="0"/>
                    <w:ind w:left="142"/>
                    <w:rPr>
                      <w:rFonts w:ascii="Arial" w:eastAsiaTheme="minorEastAsia" w:hAnsi="Arial" w:cs="Arial"/>
                      <w:sz w:val="18"/>
                      <w:szCs w:val="18"/>
                      <w:lang w:val="en-CA" w:eastAsia="en-CA"/>
                    </w:rPr>
                  </w:pPr>
                </w:p>
              </w:tc>
              <w:tc>
                <w:tcPr>
                  <w:tcW w:w="1276" w:type="dxa"/>
                  <w:tcBorders>
                    <w:top w:val="single" w:sz="8" w:space="0" w:color="000000" w:themeColor="text1"/>
                  </w:tcBorders>
                  <w:tcMar>
                    <w:top w:w="0" w:type="dxa"/>
                    <w:left w:w="28" w:type="dxa"/>
                    <w:bottom w:w="0" w:type="dxa"/>
                    <w:right w:w="28" w:type="dxa"/>
                  </w:tcMar>
                  <w:vAlign w:val="center"/>
                </w:tcPr>
                <w:p w:rsidR="00871E84" w:rsidRPr="00DA4373" w:rsidRDefault="00871E84" w:rsidP="005D067F">
                  <w:pPr>
                    <w:widowControl w:val="0"/>
                    <w:autoSpaceDE w:val="0"/>
                    <w:autoSpaceDN w:val="0"/>
                    <w:adjustRightInd w:val="0"/>
                    <w:ind w:left="142"/>
                    <w:jc w:val="right"/>
                    <w:rPr>
                      <w:rFonts w:ascii="Arial" w:eastAsiaTheme="minorEastAsia" w:hAnsi="Arial" w:cs="Arial"/>
                      <w:sz w:val="18"/>
                      <w:szCs w:val="18"/>
                      <w:lang w:val="en-CA" w:eastAsia="en-CA"/>
                    </w:rPr>
                  </w:pPr>
                </w:p>
              </w:tc>
              <w:tc>
                <w:tcPr>
                  <w:tcW w:w="1134" w:type="dxa"/>
                  <w:tcBorders>
                    <w:top w:val="single" w:sz="8" w:space="0" w:color="000000" w:themeColor="text1"/>
                  </w:tcBorders>
                  <w:tcMar>
                    <w:top w:w="0" w:type="dxa"/>
                    <w:left w:w="28" w:type="dxa"/>
                    <w:bottom w:w="0" w:type="dxa"/>
                    <w:right w:w="28" w:type="dxa"/>
                  </w:tcMar>
                  <w:vAlign w:val="center"/>
                </w:tcPr>
                <w:p w:rsidR="00871E84" w:rsidRPr="00DA4373" w:rsidRDefault="00871E84" w:rsidP="005D067F">
                  <w:pPr>
                    <w:widowControl w:val="0"/>
                    <w:autoSpaceDE w:val="0"/>
                    <w:autoSpaceDN w:val="0"/>
                    <w:adjustRightInd w:val="0"/>
                    <w:ind w:left="142"/>
                    <w:jc w:val="right"/>
                    <w:rPr>
                      <w:rFonts w:ascii="Arial" w:eastAsiaTheme="minorEastAsia" w:hAnsi="Arial" w:cs="Arial"/>
                      <w:sz w:val="18"/>
                      <w:szCs w:val="18"/>
                      <w:lang w:val="en-CA" w:eastAsia="en-CA"/>
                    </w:rPr>
                  </w:pPr>
                </w:p>
              </w:tc>
            </w:tr>
            <w:tr w:rsidR="00871E84" w:rsidRPr="00DA4373" w:rsidTr="005D067F">
              <w:trPr>
                <w:trHeight w:val="266"/>
              </w:trPr>
              <w:tc>
                <w:tcPr>
                  <w:tcW w:w="6521" w:type="dxa"/>
                  <w:tcMar>
                    <w:top w:w="0" w:type="dxa"/>
                    <w:left w:w="27" w:type="dxa"/>
                    <w:bottom w:w="0" w:type="dxa"/>
                    <w:right w:w="28" w:type="dxa"/>
                  </w:tcMar>
                  <w:vAlign w:val="center"/>
                  <w:hideMark/>
                </w:tcPr>
                <w:p w:rsidR="00871E84" w:rsidRPr="00DA4373" w:rsidRDefault="00871E84" w:rsidP="005D067F">
                  <w:pPr>
                    <w:widowControl w:val="0"/>
                    <w:autoSpaceDE w:val="0"/>
                    <w:autoSpaceDN w:val="0"/>
                    <w:adjustRightInd w:val="0"/>
                    <w:ind w:left="215"/>
                    <w:rPr>
                      <w:rFonts w:ascii="Arial" w:eastAsiaTheme="minorEastAsia" w:hAnsi="Arial" w:cs="Arial"/>
                      <w:sz w:val="18"/>
                      <w:szCs w:val="18"/>
                      <w:lang w:val="en-CA" w:eastAsia="en-CA"/>
                    </w:rPr>
                  </w:pPr>
                  <w:r w:rsidRPr="00DA4373">
                    <w:rPr>
                      <w:rFonts w:ascii="Arial" w:eastAsiaTheme="minorEastAsia" w:hAnsi="Arial" w:cs="Arial"/>
                      <w:sz w:val="18"/>
                      <w:szCs w:val="18"/>
                      <w:lang w:val="en-CA" w:eastAsia="en-CA"/>
                    </w:rPr>
                    <w:t>Cash and equivalents</w:t>
                  </w:r>
                </w:p>
              </w:tc>
              <w:tc>
                <w:tcPr>
                  <w:tcW w:w="1559" w:type="dxa"/>
                  <w:vAlign w:val="center"/>
                  <w:hideMark/>
                </w:tcPr>
                <w:p w:rsidR="00871E84" w:rsidRPr="00DA4373" w:rsidRDefault="00871E84" w:rsidP="005D067F">
                  <w:pPr>
                    <w:widowControl w:val="0"/>
                    <w:tabs>
                      <w:tab w:val="right" w:pos="1212"/>
                      <w:tab w:val="left" w:pos="1238"/>
                    </w:tabs>
                    <w:autoSpaceDE w:val="0"/>
                    <w:autoSpaceDN w:val="0"/>
                    <w:adjustRightInd w:val="0"/>
                    <w:ind w:left="215"/>
                    <w:rPr>
                      <w:rFonts w:ascii="Arial" w:eastAsiaTheme="minorEastAsia" w:hAnsi="Arial" w:cs="Arial"/>
                      <w:b/>
                      <w:bCs/>
                      <w:sz w:val="18"/>
                      <w:szCs w:val="18"/>
                      <w:lang w:val="en-CA" w:eastAsia="en-CA"/>
                    </w:rPr>
                  </w:pPr>
                </w:p>
              </w:tc>
              <w:tc>
                <w:tcPr>
                  <w:tcW w:w="1276" w:type="dxa"/>
                  <w:tcMar>
                    <w:top w:w="0" w:type="dxa"/>
                    <w:left w:w="28" w:type="dxa"/>
                    <w:bottom w:w="0"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1,146,020</w:t>
                  </w:r>
                </w:p>
              </w:tc>
              <w:tc>
                <w:tcPr>
                  <w:tcW w:w="1134" w:type="dxa"/>
                  <w:tcMar>
                    <w:top w:w="0" w:type="dxa"/>
                    <w:left w:w="28" w:type="dxa"/>
                    <w:bottom w:w="0" w:type="dxa"/>
                    <w:right w:w="28" w:type="dxa"/>
                  </w:tcMar>
                  <w:vAlign w:val="center"/>
                  <w:hideMark/>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211,957</w:t>
                  </w:r>
                </w:p>
              </w:tc>
            </w:tr>
            <w:tr w:rsidR="00871E84" w:rsidRPr="00DA4373" w:rsidTr="005D067F">
              <w:trPr>
                <w:trHeight w:val="266"/>
              </w:trPr>
              <w:tc>
                <w:tcPr>
                  <w:tcW w:w="6521" w:type="dxa"/>
                  <w:tcMar>
                    <w:top w:w="0" w:type="dxa"/>
                    <w:left w:w="27" w:type="dxa"/>
                    <w:bottom w:w="0" w:type="dxa"/>
                    <w:right w:w="28" w:type="dxa"/>
                  </w:tcMar>
                  <w:vAlign w:val="center"/>
                  <w:hideMark/>
                </w:tcPr>
                <w:p w:rsidR="00871E84" w:rsidRPr="00DA4373" w:rsidRDefault="00871E84" w:rsidP="005D067F">
                  <w:pPr>
                    <w:widowControl w:val="0"/>
                    <w:autoSpaceDE w:val="0"/>
                    <w:autoSpaceDN w:val="0"/>
                    <w:adjustRightInd w:val="0"/>
                    <w:ind w:left="215"/>
                    <w:rPr>
                      <w:rFonts w:ascii="Arial" w:eastAsiaTheme="minorEastAsia" w:hAnsi="Arial" w:cs="Arial"/>
                      <w:sz w:val="18"/>
                      <w:szCs w:val="18"/>
                      <w:lang w:val="en-CA" w:eastAsia="en-CA"/>
                    </w:rPr>
                  </w:pPr>
                  <w:r w:rsidRPr="00DA4373">
                    <w:rPr>
                      <w:rFonts w:ascii="Arial" w:eastAsiaTheme="minorEastAsia" w:hAnsi="Arial" w:cs="Arial"/>
                      <w:sz w:val="18"/>
                      <w:szCs w:val="18"/>
                      <w:lang w:val="en-CA" w:eastAsia="en-CA"/>
                    </w:rPr>
                    <w:t xml:space="preserve">Investments </w:t>
                  </w:r>
                </w:p>
              </w:tc>
              <w:tc>
                <w:tcPr>
                  <w:tcW w:w="1559" w:type="dxa"/>
                  <w:vAlign w:val="center"/>
                  <w:hideMark/>
                </w:tcPr>
                <w:p w:rsidR="00871E84" w:rsidRPr="00DA4373" w:rsidRDefault="00871E84" w:rsidP="005D067F">
                  <w:pPr>
                    <w:widowControl w:val="0"/>
                    <w:tabs>
                      <w:tab w:val="right" w:pos="1212"/>
                      <w:tab w:val="left" w:pos="1238"/>
                    </w:tabs>
                    <w:autoSpaceDE w:val="0"/>
                    <w:autoSpaceDN w:val="0"/>
                    <w:adjustRightInd w:val="0"/>
                    <w:ind w:left="215"/>
                    <w:rPr>
                      <w:rFonts w:ascii="Arial" w:eastAsiaTheme="minorEastAsia" w:hAnsi="Arial" w:cs="Arial"/>
                      <w:b/>
                      <w:bCs/>
                      <w:sz w:val="18"/>
                      <w:szCs w:val="18"/>
                      <w:lang w:val="en-CA" w:eastAsia="en-CA"/>
                    </w:rPr>
                  </w:pPr>
                </w:p>
              </w:tc>
              <w:tc>
                <w:tcPr>
                  <w:tcW w:w="1276" w:type="dxa"/>
                  <w:tcMar>
                    <w:top w:w="0" w:type="dxa"/>
                    <w:left w:w="28" w:type="dxa"/>
                    <w:bottom w:w="0"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2,534,655</w:t>
                  </w:r>
                </w:p>
              </w:tc>
              <w:tc>
                <w:tcPr>
                  <w:tcW w:w="1134" w:type="dxa"/>
                  <w:tcMar>
                    <w:top w:w="0" w:type="dxa"/>
                    <w:left w:w="28" w:type="dxa"/>
                    <w:bottom w:w="0" w:type="dxa"/>
                    <w:right w:w="28" w:type="dxa"/>
                  </w:tcMar>
                  <w:vAlign w:val="center"/>
                  <w:hideMark/>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2,537,046</w:t>
                  </w:r>
                </w:p>
              </w:tc>
            </w:tr>
            <w:tr w:rsidR="00871E84" w:rsidRPr="00DA4373" w:rsidTr="005D067F">
              <w:trPr>
                <w:trHeight w:val="266"/>
              </w:trPr>
              <w:tc>
                <w:tcPr>
                  <w:tcW w:w="6521" w:type="dxa"/>
                  <w:tcMar>
                    <w:top w:w="0" w:type="dxa"/>
                    <w:left w:w="27" w:type="dxa"/>
                    <w:bottom w:w="0" w:type="dxa"/>
                    <w:right w:w="28" w:type="dxa"/>
                  </w:tcMar>
                  <w:vAlign w:val="center"/>
                  <w:hideMark/>
                </w:tcPr>
                <w:p w:rsidR="00871E84" w:rsidRPr="00DA4373" w:rsidRDefault="00871E84" w:rsidP="005D067F">
                  <w:pPr>
                    <w:widowControl w:val="0"/>
                    <w:autoSpaceDE w:val="0"/>
                    <w:autoSpaceDN w:val="0"/>
                    <w:adjustRightInd w:val="0"/>
                    <w:ind w:left="215"/>
                    <w:rPr>
                      <w:rFonts w:ascii="Arial" w:eastAsiaTheme="minorEastAsia" w:hAnsi="Arial" w:cs="Arial"/>
                      <w:sz w:val="18"/>
                      <w:szCs w:val="18"/>
                      <w:lang w:val="en-CA" w:eastAsia="en-CA"/>
                    </w:rPr>
                  </w:pPr>
                  <w:r w:rsidRPr="00DA4373">
                    <w:rPr>
                      <w:rFonts w:ascii="Arial" w:eastAsiaTheme="minorEastAsia" w:hAnsi="Arial" w:cs="Arial"/>
                      <w:sz w:val="18"/>
                      <w:szCs w:val="18"/>
                      <w:lang w:val="en-CA" w:eastAsia="en-CA"/>
                    </w:rPr>
                    <w:t xml:space="preserve">Member loans receivable </w:t>
                  </w:r>
                </w:p>
              </w:tc>
              <w:tc>
                <w:tcPr>
                  <w:tcW w:w="1559" w:type="dxa"/>
                  <w:vAlign w:val="center"/>
                  <w:hideMark/>
                </w:tcPr>
                <w:p w:rsidR="00871E84" w:rsidRPr="00DA4373" w:rsidRDefault="00871E84" w:rsidP="005D067F">
                  <w:pPr>
                    <w:widowControl w:val="0"/>
                    <w:tabs>
                      <w:tab w:val="right" w:pos="1212"/>
                      <w:tab w:val="left" w:pos="1238"/>
                    </w:tabs>
                    <w:autoSpaceDE w:val="0"/>
                    <w:autoSpaceDN w:val="0"/>
                    <w:adjustRightInd w:val="0"/>
                    <w:ind w:left="215"/>
                    <w:rPr>
                      <w:rFonts w:ascii="Arial" w:eastAsiaTheme="minorEastAsia" w:hAnsi="Arial" w:cs="Arial"/>
                      <w:b/>
                      <w:bCs/>
                      <w:sz w:val="18"/>
                      <w:szCs w:val="18"/>
                      <w:lang w:val="en-CA" w:eastAsia="en-CA"/>
                    </w:rPr>
                  </w:pPr>
                </w:p>
              </w:tc>
              <w:tc>
                <w:tcPr>
                  <w:tcW w:w="1276" w:type="dxa"/>
                  <w:tcMar>
                    <w:top w:w="0" w:type="dxa"/>
                    <w:left w:w="28" w:type="dxa"/>
                    <w:bottom w:w="0"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28,443,396</w:t>
                  </w:r>
                </w:p>
              </w:tc>
              <w:tc>
                <w:tcPr>
                  <w:tcW w:w="1134" w:type="dxa"/>
                  <w:tcMar>
                    <w:top w:w="0" w:type="dxa"/>
                    <w:left w:w="28" w:type="dxa"/>
                    <w:bottom w:w="0" w:type="dxa"/>
                    <w:right w:w="28" w:type="dxa"/>
                  </w:tcMar>
                  <w:vAlign w:val="center"/>
                  <w:hideMark/>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28,750,549</w:t>
                  </w:r>
                </w:p>
              </w:tc>
            </w:tr>
            <w:tr w:rsidR="00871E84" w:rsidRPr="00DA4373" w:rsidTr="005D067F">
              <w:trPr>
                <w:trHeight w:val="266"/>
              </w:trPr>
              <w:tc>
                <w:tcPr>
                  <w:tcW w:w="6521" w:type="dxa"/>
                  <w:tcMar>
                    <w:top w:w="0" w:type="dxa"/>
                    <w:left w:w="27" w:type="dxa"/>
                    <w:bottom w:w="0" w:type="dxa"/>
                    <w:right w:w="28" w:type="dxa"/>
                  </w:tcMar>
                  <w:vAlign w:val="center"/>
                  <w:hideMark/>
                </w:tcPr>
                <w:p w:rsidR="00871E84" w:rsidRPr="00DA4373" w:rsidRDefault="00871E84" w:rsidP="005D067F">
                  <w:pPr>
                    <w:widowControl w:val="0"/>
                    <w:autoSpaceDE w:val="0"/>
                    <w:autoSpaceDN w:val="0"/>
                    <w:adjustRightInd w:val="0"/>
                    <w:ind w:left="215"/>
                    <w:rPr>
                      <w:rFonts w:ascii="Arial" w:eastAsiaTheme="minorEastAsia" w:hAnsi="Arial" w:cs="Arial"/>
                      <w:sz w:val="18"/>
                      <w:szCs w:val="18"/>
                      <w:lang w:val="en-CA" w:eastAsia="en-CA"/>
                    </w:rPr>
                  </w:pPr>
                  <w:r w:rsidRPr="00DA4373">
                    <w:rPr>
                      <w:rFonts w:ascii="Arial" w:eastAsiaTheme="minorEastAsia" w:hAnsi="Arial" w:cs="Arial"/>
                      <w:sz w:val="18"/>
                      <w:szCs w:val="18"/>
                      <w:lang w:val="en-CA" w:eastAsia="en-CA"/>
                    </w:rPr>
                    <w:t>Income taxes receivable</w:t>
                  </w:r>
                </w:p>
              </w:tc>
              <w:tc>
                <w:tcPr>
                  <w:tcW w:w="1559" w:type="dxa"/>
                  <w:vAlign w:val="center"/>
                  <w:hideMark/>
                </w:tcPr>
                <w:p w:rsidR="00871E84" w:rsidRPr="00DA4373" w:rsidRDefault="00871E84" w:rsidP="005D067F">
                  <w:pPr>
                    <w:widowControl w:val="0"/>
                    <w:tabs>
                      <w:tab w:val="right" w:pos="1212"/>
                      <w:tab w:val="left" w:pos="1238"/>
                    </w:tabs>
                    <w:autoSpaceDE w:val="0"/>
                    <w:autoSpaceDN w:val="0"/>
                    <w:adjustRightInd w:val="0"/>
                    <w:ind w:left="215"/>
                    <w:rPr>
                      <w:rFonts w:ascii="Arial" w:eastAsiaTheme="minorEastAsia" w:hAnsi="Arial" w:cs="Arial"/>
                      <w:b/>
                      <w:bCs/>
                      <w:sz w:val="18"/>
                      <w:szCs w:val="18"/>
                      <w:lang w:val="en-CA" w:eastAsia="en-CA"/>
                    </w:rPr>
                  </w:pPr>
                </w:p>
              </w:tc>
              <w:tc>
                <w:tcPr>
                  <w:tcW w:w="1276" w:type="dxa"/>
                  <w:tcMar>
                    <w:top w:w="0" w:type="dxa"/>
                    <w:left w:w="28" w:type="dxa"/>
                    <w:bottom w:w="0"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
                      <w:color w:val="000000"/>
                      <w:sz w:val="18"/>
                      <w:szCs w:val="18"/>
                      <w:lang w:val="en-CA" w:eastAsia="en-CA"/>
                    </w:rPr>
                  </w:pPr>
                  <w:r w:rsidRPr="00DA4373">
                    <w:rPr>
                      <w:rFonts w:ascii="Arial" w:eastAsiaTheme="minorEastAsia" w:hAnsi="Arial" w:cs="Arial"/>
                      <w:b/>
                      <w:color w:val="000000"/>
                      <w:sz w:val="18"/>
                      <w:szCs w:val="18"/>
                      <w:lang w:val="en-CA" w:eastAsia="en-CA"/>
                    </w:rPr>
                    <w:t>376</w:t>
                  </w:r>
                </w:p>
              </w:tc>
              <w:tc>
                <w:tcPr>
                  <w:tcW w:w="1134" w:type="dxa"/>
                  <w:tcMar>
                    <w:top w:w="0" w:type="dxa"/>
                    <w:left w:w="28" w:type="dxa"/>
                    <w:bottom w:w="0" w:type="dxa"/>
                    <w:right w:w="28" w:type="dxa"/>
                  </w:tcMar>
                  <w:vAlign w:val="center"/>
                  <w:hideMark/>
                </w:tcPr>
                <w:p w:rsidR="00871E84" w:rsidRPr="00DA4373" w:rsidRDefault="00871E84" w:rsidP="005D067F">
                  <w:pPr>
                    <w:widowControl w:val="0"/>
                    <w:autoSpaceDE w:val="0"/>
                    <w:autoSpaceDN w:val="0"/>
                    <w:adjustRightInd w:val="0"/>
                    <w:jc w:val="right"/>
                    <w:rPr>
                      <w:rFonts w:ascii="Arial" w:eastAsiaTheme="minorEastAsia" w:hAnsi="Arial" w:cs="Arial"/>
                      <w:color w:val="000000"/>
                      <w:sz w:val="18"/>
                      <w:szCs w:val="18"/>
                      <w:lang w:val="en-CA" w:eastAsia="en-CA"/>
                    </w:rPr>
                  </w:pPr>
                  <w:r w:rsidRPr="00DA4373">
                    <w:rPr>
                      <w:rFonts w:ascii="Arial" w:eastAsiaTheme="minorEastAsia" w:hAnsi="Arial" w:cs="Arial"/>
                      <w:color w:val="000000"/>
                      <w:sz w:val="18"/>
                      <w:szCs w:val="18"/>
                      <w:lang w:val="en-CA" w:eastAsia="en-CA"/>
                    </w:rPr>
                    <w:t>1,090</w:t>
                  </w:r>
                </w:p>
              </w:tc>
            </w:tr>
            <w:tr w:rsidR="00871E84" w:rsidRPr="00DA4373" w:rsidTr="005D067F">
              <w:trPr>
                <w:trHeight w:val="266"/>
              </w:trPr>
              <w:tc>
                <w:tcPr>
                  <w:tcW w:w="6521" w:type="dxa"/>
                  <w:tcMar>
                    <w:top w:w="0" w:type="dxa"/>
                    <w:left w:w="27" w:type="dxa"/>
                    <w:bottom w:w="0" w:type="dxa"/>
                    <w:right w:w="28" w:type="dxa"/>
                  </w:tcMar>
                  <w:vAlign w:val="center"/>
                  <w:hideMark/>
                </w:tcPr>
                <w:p w:rsidR="00871E84" w:rsidRPr="00DA4373" w:rsidRDefault="00871E84" w:rsidP="005D067F">
                  <w:pPr>
                    <w:widowControl w:val="0"/>
                    <w:autoSpaceDE w:val="0"/>
                    <w:autoSpaceDN w:val="0"/>
                    <w:adjustRightInd w:val="0"/>
                    <w:ind w:left="215"/>
                    <w:rPr>
                      <w:rFonts w:ascii="Arial" w:eastAsiaTheme="minorEastAsia" w:hAnsi="Arial" w:cs="Arial"/>
                      <w:sz w:val="18"/>
                      <w:szCs w:val="18"/>
                      <w:lang w:val="en-CA" w:eastAsia="en-CA"/>
                    </w:rPr>
                  </w:pPr>
                  <w:r w:rsidRPr="00DA4373">
                    <w:rPr>
                      <w:rFonts w:ascii="Arial" w:eastAsiaTheme="minorEastAsia" w:hAnsi="Arial" w:cs="Arial"/>
                      <w:sz w:val="18"/>
                      <w:szCs w:val="18"/>
                      <w:lang w:val="en-CA" w:eastAsia="en-CA"/>
                    </w:rPr>
                    <w:t xml:space="preserve">Equipment </w:t>
                  </w:r>
                </w:p>
              </w:tc>
              <w:tc>
                <w:tcPr>
                  <w:tcW w:w="1559" w:type="dxa"/>
                  <w:vAlign w:val="center"/>
                  <w:hideMark/>
                </w:tcPr>
                <w:p w:rsidR="00871E84" w:rsidRPr="00DA4373" w:rsidRDefault="00871E84" w:rsidP="005D067F">
                  <w:pPr>
                    <w:widowControl w:val="0"/>
                    <w:tabs>
                      <w:tab w:val="right" w:pos="1212"/>
                      <w:tab w:val="left" w:pos="1238"/>
                    </w:tabs>
                    <w:autoSpaceDE w:val="0"/>
                    <w:autoSpaceDN w:val="0"/>
                    <w:adjustRightInd w:val="0"/>
                    <w:ind w:left="215"/>
                    <w:rPr>
                      <w:rFonts w:ascii="Arial" w:eastAsiaTheme="minorEastAsia" w:hAnsi="Arial" w:cs="Arial"/>
                      <w:b/>
                      <w:bCs/>
                      <w:sz w:val="18"/>
                      <w:szCs w:val="18"/>
                      <w:lang w:val="en-CA" w:eastAsia="en-CA"/>
                    </w:rPr>
                  </w:pPr>
                </w:p>
              </w:tc>
              <w:tc>
                <w:tcPr>
                  <w:tcW w:w="1276" w:type="dxa"/>
                  <w:tcMar>
                    <w:top w:w="0" w:type="dxa"/>
                    <w:left w:w="28" w:type="dxa"/>
                    <w:bottom w:w="0"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w:t>
                  </w:r>
                </w:p>
              </w:tc>
              <w:tc>
                <w:tcPr>
                  <w:tcW w:w="1134" w:type="dxa"/>
                  <w:tcMar>
                    <w:top w:w="0" w:type="dxa"/>
                    <w:left w:w="28" w:type="dxa"/>
                    <w:bottom w:w="0" w:type="dxa"/>
                    <w:right w:w="28" w:type="dxa"/>
                  </w:tcMar>
                  <w:vAlign w:val="center"/>
                  <w:hideMark/>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14,234</w:t>
                  </w:r>
                </w:p>
              </w:tc>
            </w:tr>
            <w:tr w:rsidR="00871E84" w:rsidRPr="00DA4373" w:rsidTr="005D067F">
              <w:trPr>
                <w:trHeight w:val="266"/>
              </w:trPr>
              <w:tc>
                <w:tcPr>
                  <w:tcW w:w="6521" w:type="dxa"/>
                  <w:tcMar>
                    <w:top w:w="0" w:type="dxa"/>
                    <w:left w:w="27" w:type="dxa"/>
                    <w:bottom w:w="0" w:type="dxa"/>
                    <w:right w:w="28" w:type="dxa"/>
                  </w:tcMar>
                  <w:vAlign w:val="center"/>
                  <w:hideMark/>
                </w:tcPr>
                <w:p w:rsidR="00871E84" w:rsidRPr="00DA4373" w:rsidRDefault="00871E84" w:rsidP="005D067F">
                  <w:pPr>
                    <w:widowControl w:val="0"/>
                    <w:autoSpaceDE w:val="0"/>
                    <w:autoSpaceDN w:val="0"/>
                    <w:adjustRightInd w:val="0"/>
                    <w:ind w:left="215"/>
                    <w:rPr>
                      <w:rFonts w:ascii="Arial" w:eastAsiaTheme="minorEastAsia" w:hAnsi="Arial" w:cs="Arial"/>
                      <w:sz w:val="18"/>
                      <w:szCs w:val="18"/>
                      <w:lang w:val="en-CA" w:eastAsia="en-CA"/>
                    </w:rPr>
                  </w:pPr>
                  <w:r w:rsidRPr="00DA4373">
                    <w:rPr>
                      <w:rFonts w:ascii="Arial" w:eastAsiaTheme="minorEastAsia" w:hAnsi="Arial" w:cs="Arial"/>
                      <w:sz w:val="18"/>
                      <w:szCs w:val="18"/>
                      <w:lang w:val="en-CA" w:eastAsia="en-CA"/>
                    </w:rPr>
                    <w:t xml:space="preserve">Deferred tax asset </w:t>
                  </w:r>
                </w:p>
              </w:tc>
              <w:tc>
                <w:tcPr>
                  <w:tcW w:w="1559" w:type="dxa"/>
                  <w:vAlign w:val="center"/>
                  <w:hideMark/>
                </w:tcPr>
                <w:p w:rsidR="00871E84" w:rsidRPr="00DA4373" w:rsidRDefault="00871E84" w:rsidP="005D067F">
                  <w:pPr>
                    <w:widowControl w:val="0"/>
                    <w:tabs>
                      <w:tab w:val="right" w:pos="1212"/>
                      <w:tab w:val="left" w:pos="1238"/>
                    </w:tabs>
                    <w:autoSpaceDE w:val="0"/>
                    <w:autoSpaceDN w:val="0"/>
                    <w:adjustRightInd w:val="0"/>
                    <w:ind w:left="215"/>
                    <w:rPr>
                      <w:rFonts w:ascii="Arial" w:eastAsiaTheme="minorEastAsia" w:hAnsi="Arial" w:cs="Arial"/>
                      <w:b/>
                      <w:bCs/>
                      <w:sz w:val="18"/>
                      <w:szCs w:val="18"/>
                      <w:lang w:val="en-CA" w:eastAsia="en-CA"/>
                    </w:rPr>
                  </w:pPr>
                </w:p>
              </w:tc>
              <w:tc>
                <w:tcPr>
                  <w:tcW w:w="1276" w:type="dxa"/>
                  <w:tcMar>
                    <w:top w:w="0" w:type="dxa"/>
                    <w:left w:w="28" w:type="dxa"/>
                    <w:bottom w:w="0"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12,000</w:t>
                  </w:r>
                </w:p>
              </w:tc>
              <w:tc>
                <w:tcPr>
                  <w:tcW w:w="1134" w:type="dxa"/>
                  <w:tcMar>
                    <w:top w:w="0" w:type="dxa"/>
                    <w:left w:w="28" w:type="dxa"/>
                    <w:bottom w:w="0" w:type="dxa"/>
                    <w:right w:w="28" w:type="dxa"/>
                  </w:tcMar>
                  <w:vAlign w:val="center"/>
                  <w:hideMark/>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9,000</w:t>
                  </w:r>
                </w:p>
              </w:tc>
            </w:tr>
            <w:tr w:rsidR="00871E84" w:rsidRPr="00DA4373" w:rsidTr="005D067F">
              <w:trPr>
                <w:trHeight w:val="414"/>
              </w:trPr>
              <w:tc>
                <w:tcPr>
                  <w:tcW w:w="6521" w:type="dxa"/>
                  <w:tcBorders>
                    <w:top w:val="single" w:sz="8" w:space="0" w:color="000000" w:themeColor="text1"/>
                    <w:bottom w:val="single" w:sz="12" w:space="0" w:color="000000"/>
                  </w:tcBorders>
                  <w:tcMar>
                    <w:top w:w="0" w:type="dxa"/>
                    <w:left w:w="27" w:type="dxa"/>
                    <w:bottom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color w:val="000000"/>
                      <w:sz w:val="18"/>
                      <w:szCs w:val="18"/>
                      <w:lang w:val="en-CA" w:eastAsia="en-CA"/>
                    </w:rPr>
                  </w:pPr>
                </w:p>
              </w:tc>
              <w:tc>
                <w:tcPr>
                  <w:tcW w:w="1559" w:type="dxa"/>
                  <w:tcBorders>
                    <w:top w:val="single" w:sz="8" w:space="0" w:color="000000" w:themeColor="text1"/>
                    <w:bottom w:val="single" w:sz="12" w:space="0" w:color="000000"/>
                  </w:tcBorders>
                  <w:vAlign w:val="center"/>
                  <w:hideMark/>
                </w:tcPr>
                <w:p w:rsidR="00871E84" w:rsidRPr="00DA4373" w:rsidRDefault="00871E84" w:rsidP="005D067F">
                  <w:pPr>
                    <w:widowControl w:val="0"/>
                    <w:tabs>
                      <w:tab w:val="right" w:pos="1212"/>
                      <w:tab w:val="left" w:pos="1238"/>
                    </w:tabs>
                    <w:autoSpaceDE w:val="0"/>
                    <w:autoSpaceDN w:val="0"/>
                    <w:adjustRightInd w:val="0"/>
                    <w:ind w:left="142"/>
                    <w:rPr>
                      <w:rFonts w:ascii="Arial" w:eastAsiaTheme="minorEastAsia" w:hAnsi="Arial" w:cs="Arial"/>
                      <w:b/>
                      <w:bCs/>
                      <w:sz w:val="18"/>
                      <w:szCs w:val="18"/>
                      <w:lang w:val="en-CA" w:eastAsia="en-CA"/>
                    </w:rPr>
                  </w:pPr>
                </w:p>
              </w:tc>
              <w:tc>
                <w:tcPr>
                  <w:tcW w:w="1276" w:type="dxa"/>
                  <w:tcBorders>
                    <w:top w:val="single" w:sz="8" w:space="0" w:color="000000" w:themeColor="text1"/>
                    <w:bottom w:val="single" w:sz="12" w:space="0" w:color="000000"/>
                  </w:tcBorders>
                  <w:tcMar>
                    <w:top w:w="0" w:type="dxa"/>
                    <w:left w:w="28" w:type="dxa"/>
                    <w:bottom w:w="0"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32,136,447</w:t>
                  </w:r>
                </w:p>
              </w:tc>
              <w:tc>
                <w:tcPr>
                  <w:tcW w:w="1134" w:type="dxa"/>
                  <w:tcBorders>
                    <w:top w:val="single" w:sz="8" w:space="0" w:color="000000" w:themeColor="text1"/>
                    <w:bottom w:val="single" w:sz="12" w:space="0" w:color="000000"/>
                  </w:tcBorders>
                  <w:tcMar>
                    <w:top w:w="0" w:type="dxa"/>
                    <w:left w:w="28" w:type="dxa"/>
                    <w:bottom w:w="0" w:type="dxa"/>
                    <w:right w:w="28" w:type="dxa"/>
                  </w:tcMar>
                  <w:vAlign w:val="center"/>
                  <w:hideMark/>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31,523,876</w:t>
                  </w:r>
                </w:p>
              </w:tc>
            </w:tr>
          </w:tbl>
          <w:p w:rsidR="00871E84" w:rsidRPr="00DA4373" w:rsidRDefault="00871E84" w:rsidP="005D067F">
            <w:pPr>
              <w:widowControl w:val="0"/>
              <w:autoSpaceDE w:val="0"/>
              <w:autoSpaceDN w:val="0"/>
              <w:adjustRightInd w:val="0"/>
              <w:rPr>
                <w:rFonts w:ascii="Arial" w:eastAsiaTheme="minorEastAsia" w:hAnsi="Arial" w:cs="Arial"/>
                <w:b/>
                <w:color w:val="000000"/>
                <w:sz w:val="18"/>
                <w:szCs w:val="18"/>
                <w:lang w:val="en-CA" w:eastAsia="en-CA"/>
              </w:rPr>
            </w:pPr>
          </w:p>
          <w:tbl>
            <w:tblPr>
              <w:tblpPr w:leftFromText="180" w:rightFromText="180" w:vertAnchor="text" w:horzAnchor="margin" w:tblpX="-114" w:tblpY="77"/>
              <w:tblW w:w="10490" w:type="dxa"/>
              <w:tblLayout w:type="fixed"/>
              <w:tblCellMar>
                <w:left w:w="28" w:type="dxa"/>
                <w:right w:w="28" w:type="dxa"/>
              </w:tblCellMar>
              <w:tblLook w:val="04A0" w:firstRow="1" w:lastRow="0" w:firstColumn="1" w:lastColumn="0" w:noHBand="0" w:noVBand="1"/>
            </w:tblPr>
            <w:tblGrid>
              <w:gridCol w:w="6521"/>
              <w:gridCol w:w="1559"/>
              <w:gridCol w:w="1276"/>
              <w:gridCol w:w="1134"/>
            </w:tblGrid>
            <w:tr w:rsidR="00871E84" w:rsidRPr="00DA4373" w:rsidTr="005D067F">
              <w:trPr>
                <w:trHeight w:val="266"/>
              </w:trPr>
              <w:tc>
                <w:tcPr>
                  <w:tcW w:w="6521" w:type="dxa"/>
                  <w:vAlign w:val="center"/>
                  <w:hideMark/>
                </w:tcPr>
                <w:p w:rsidR="00871E84" w:rsidRPr="00DA4373" w:rsidRDefault="00871E84" w:rsidP="005D067F">
                  <w:pPr>
                    <w:widowControl w:val="0"/>
                    <w:autoSpaceDE w:val="0"/>
                    <w:autoSpaceDN w:val="0"/>
                    <w:adjustRightInd w:val="0"/>
                    <w:ind w:left="142"/>
                    <w:rPr>
                      <w:rFonts w:ascii="Arial" w:eastAsiaTheme="minorEastAsia" w:hAnsi="Arial" w:cs="Arial"/>
                      <w:b/>
                      <w:sz w:val="18"/>
                      <w:szCs w:val="18"/>
                      <w:lang w:val="en-CA" w:eastAsia="en-CA"/>
                    </w:rPr>
                  </w:pPr>
                  <w:r w:rsidRPr="00DA4373">
                    <w:rPr>
                      <w:rFonts w:ascii="Arial" w:eastAsiaTheme="minorEastAsia" w:hAnsi="Arial" w:cs="Arial"/>
                      <w:b/>
                      <w:sz w:val="18"/>
                      <w:szCs w:val="18"/>
                      <w:lang w:val="en-CA" w:eastAsia="en-CA"/>
                    </w:rPr>
                    <w:t>Liabilities</w:t>
                  </w:r>
                </w:p>
              </w:tc>
              <w:tc>
                <w:tcPr>
                  <w:tcW w:w="1559" w:type="dxa"/>
                  <w:vAlign w:val="bottom"/>
                  <w:hideMark/>
                </w:tcPr>
                <w:p w:rsidR="00871E84" w:rsidRPr="00DA4373" w:rsidRDefault="00871E84" w:rsidP="005D067F">
                  <w:pPr>
                    <w:widowControl w:val="0"/>
                    <w:tabs>
                      <w:tab w:val="right" w:pos="1212"/>
                      <w:tab w:val="left" w:pos="1238"/>
                    </w:tabs>
                    <w:autoSpaceDE w:val="0"/>
                    <w:autoSpaceDN w:val="0"/>
                    <w:adjustRightInd w:val="0"/>
                    <w:spacing w:before="28" w:after="28"/>
                    <w:jc w:val="right"/>
                    <w:rPr>
                      <w:rFonts w:ascii="Arial" w:eastAsiaTheme="minorEastAsia" w:hAnsi="Arial" w:cs="Arial"/>
                      <w:b/>
                      <w:bCs/>
                      <w:sz w:val="18"/>
                      <w:szCs w:val="18"/>
                      <w:lang w:val="en-CA" w:eastAsia="en-CA"/>
                    </w:rPr>
                  </w:pPr>
                </w:p>
              </w:tc>
              <w:tc>
                <w:tcPr>
                  <w:tcW w:w="1276" w:type="dxa"/>
                  <w:vAlign w:val="center"/>
                  <w:hideMark/>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p>
              </w:tc>
              <w:tc>
                <w:tcPr>
                  <w:tcW w:w="1134" w:type="dxa"/>
                  <w:vAlign w:val="center"/>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p>
              </w:tc>
            </w:tr>
            <w:tr w:rsidR="00871E84" w:rsidRPr="00DA4373" w:rsidTr="005D067F">
              <w:trPr>
                <w:trHeight w:val="266"/>
              </w:trPr>
              <w:tc>
                <w:tcPr>
                  <w:tcW w:w="6521" w:type="dxa"/>
                  <w:vAlign w:val="center"/>
                  <w:hideMark/>
                </w:tcPr>
                <w:p w:rsidR="00871E84" w:rsidRPr="00DA4373" w:rsidRDefault="00871E84" w:rsidP="005D067F">
                  <w:pPr>
                    <w:widowControl w:val="0"/>
                    <w:autoSpaceDE w:val="0"/>
                    <w:autoSpaceDN w:val="0"/>
                    <w:adjustRightInd w:val="0"/>
                    <w:ind w:left="215" w:right="288"/>
                    <w:rPr>
                      <w:rFonts w:ascii="Arial" w:eastAsiaTheme="minorEastAsia" w:hAnsi="Arial" w:cs="Arial"/>
                      <w:sz w:val="18"/>
                      <w:szCs w:val="18"/>
                      <w:lang w:val="en-CA" w:eastAsia="en-CA"/>
                    </w:rPr>
                  </w:pPr>
                  <w:r w:rsidRPr="00DA4373">
                    <w:rPr>
                      <w:rFonts w:ascii="Arial" w:eastAsiaTheme="minorEastAsia" w:hAnsi="Arial" w:cs="Arial"/>
                      <w:sz w:val="18"/>
                      <w:szCs w:val="18"/>
                      <w:lang w:val="en-CA" w:eastAsia="en-CA"/>
                    </w:rPr>
                    <w:t>Member deposits</w:t>
                  </w:r>
                </w:p>
              </w:tc>
              <w:tc>
                <w:tcPr>
                  <w:tcW w:w="1559" w:type="dxa"/>
                  <w:vAlign w:val="bottom"/>
                  <w:hideMark/>
                </w:tcPr>
                <w:p w:rsidR="00871E84" w:rsidRPr="00DA4373" w:rsidRDefault="00871E84" w:rsidP="005D067F">
                  <w:pPr>
                    <w:widowControl w:val="0"/>
                    <w:tabs>
                      <w:tab w:val="right" w:pos="1212"/>
                      <w:tab w:val="left" w:pos="1238"/>
                    </w:tabs>
                    <w:autoSpaceDE w:val="0"/>
                    <w:autoSpaceDN w:val="0"/>
                    <w:adjustRightInd w:val="0"/>
                    <w:spacing w:before="28" w:after="28"/>
                    <w:jc w:val="right"/>
                    <w:rPr>
                      <w:rFonts w:ascii="Arial" w:eastAsiaTheme="minorEastAsia" w:hAnsi="Arial" w:cs="Arial"/>
                      <w:b/>
                      <w:bCs/>
                      <w:sz w:val="18"/>
                      <w:szCs w:val="18"/>
                      <w:lang w:val="en-CA" w:eastAsia="en-CA"/>
                    </w:rPr>
                  </w:pPr>
                </w:p>
              </w:tc>
              <w:tc>
                <w:tcPr>
                  <w:tcW w:w="1276" w:type="dxa"/>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28,704,412</w:t>
                  </w:r>
                </w:p>
              </w:tc>
              <w:tc>
                <w:tcPr>
                  <w:tcW w:w="1134" w:type="dxa"/>
                  <w:vAlign w:val="center"/>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28,656,540</w:t>
                  </w:r>
                </w:p>
              </w:tc>
            </w:tr>
            <w:tr w:rsidR="00871E84" w:rsidRPr="00DA4373" w:rsidTr="005D067F">
              <w:trPr>
                <w:trHeight w:val="266"/>
              </w:trPr>
              <w:tc>
                <w:tcPr>
                  <w:tcW w:w="6521" w:type="dxa"/>
                  <w:vAlign w:val="center"/>
                  <w:hideMark/>
                </w:tcPr>
                <w:p w:rsidR="00871E84" w:rsidRPr="00DA4373" w:rsidRDefault="00871E84" w:rsidP="005D067F">
                  <w:pPr>
                    <w:widowControl w:val="0"/>
                    <w:autoSpaceDE w:val="0"/>
                    <w:autoSpaceDN w:val="0"/>
                    <w:adjustRightInd w:val="0"/>
                    <w:ind w:left="215" w:right="288"/>
                    <w:rPr>
                      <w:rFonts w:ascii="Arial" w:eastAsiaTheme="minorEastAsia" w:hAnsi="Arial" w:cs="Arial"/>
                      <w:sz w:val="18"/>
                      <w:szCs w:val="18"/>
                      <w:lang w:val="en-CA" w:eastAsia="en-CA"/>
                    </w:rPr>
                  </w:pPr>
                  <w:r w:rsidRPr="00DA4373">
                    <w:rPr>
                      <w:rFonts w:ascii="Arial" w:eastAsiaTheme="minorEastAsia" w:hAnsi="Arial" w:cs="Arial"/>
                      <w:sz w:val="18"/>
                      <w:szCs w:val="18"/>
                      <w:lang w:val="en-CA" w:eastAsia="en-CA"/>
                    </w:rPr>
                    <w:t xml:space="preserve">Borrowings </w:t>
                  </w:r>
                </w:p>
              </w:tc>
              <w:tc>
                <w:tcPr>
                  <w:tcW w:w="1559" w:type="dxa"/>
                  <w:vAlign w:val="bottom"/>
                  <w:hideMark/>
                </w:tcPr>
                <w:p w:rsidR="00871E84" w:rsidRPr="00DA4373" w:rsidRDefault="00871E84" w:rsidP="005D067F">
                  <w:pPr>
                    <w:widowControl w:val="0"/>
                    <w:tabs>
                      <w:tab w:val="right" w:pos="1212"/>
                      <w:tab w:val="left" w:pos="1238"/>
                    </w:tabs>
                    <w:autoSpaceDE w:val="0"/>
                    <w:autoSpaceDN w:val="0"/>
                    <w:adjustRightInd w:val="0"/>
                    <w:spacing w:before="28" w:after="28"/>
                    <w:jc w:val="right"/>
                    <w:rPr>
                      <w:rFonts w:ascii="Arial" w:eastAsiaTheme="minorEastAsia" w:hAnsi="Arial" w:cs="Arial"/>
                      <w:b/>
                      <w:bCs/>
                      <w:sz w:val="18"/>
                      <w:szCs w:val="18"/>
                      <w:lang w:val="en-CA" w:eastAsia="en-CA"/>
                    </w:rPr>
                  </w:pPr>
                </w:p>
              </w:tc>
              <w:tc>
                <w:tcPr>
                  <w:tcW w:w="1276" w:type="dxa"/>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1,000,000</w:t>
                  </w:r>
                </w:p>
              </w:tc>
              <w:tc>
                <w:tcPr>
                  <w:tcW w:w="1134" w:type="dxa"/>
                  <w:vAlign w:val="center"/>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500,000</w:t>
                  </w:r>
                </w:p>
              </w:tc>
            </w:tr>
            <w:tr w:rsidR="00871E84" w:rsidRPr="00DA4373" w:rsidTr="005D067F">
              <w:trPr>
                <w:trHeight w:val="266"/>
              </w:trPr>
              <w:tc>
                <w:tcPr>
                  <w:tcW w:w="6521" w:type="dxa"/>
                  <w:vAlign w:val="center"/>
                </w:tcPr>
                <w:p w:rsidR="00871E84" w:rsidRPr="00DA4373" w:rsidRDefault="00871E84" w:rsidP="005D067F">
                  <w:pPr>
                    <w:widowControl w:val="0"/>
                    <w:autoSpaceDE w:val="0"/>
                    <w:autoSpaceDN w:val="0"/>
                    <w:adjustRightInd w:val="0"/>
                    <w:ind w:left="215" w:right="288"/>
                    <w:rPr>
                      <w:rFonts w:ascii="Arial" w:eastAsiaTheme="minorEastAsia" w:hAnsi="Arial" w:cs="Arial"/>
                      <w:sz w:val="18"/>
                      <w:szCs w:val="18"/>
                      <w:lang w:val="en-CA" w:eastAsia="en-CA"/>
                    </w:rPr>
                  </w:pPr>
                  <w:r w:rsidRPr="00DA4373">
                    <w:rPr>
                      <w:rFonts w:ascii="Arial" w:eastAsiaTheme="minorEastAsia" w:hAnsi="Arial" w:cs="Arial"/>
                      <w:sz w:val="18"/>
                      <w:szCs w:val="18"/>
                      <w:lang w:val="en-CA" w:eastAsia="en-CA"/>
                    </w:rPr>
                    <w:t>Accounts payable and accrued liabilities</w:t>
                  </w:r>
                </w:p>
              </w:tc>
              <w:tc>
                <w:tcPr>
                  <w:tcW w:w="1559" w:type="dxa"/>
                  <w:vAlign w:val="bottom"/>
                </w:tcPr>
                <w:p w:rsidR="00871E84" w:rsidRPr="00DA4373" w:rsidRDefault="00871E84" w:rsidP="005D067F">
                  <w:pPr>
                    <w:widowControl w:val="0"/>
                    <w:tabs>
                      <w:tab w:val="right" w:pos="1212"/>
                      <w:tab w:val="left" w:pos="1238"/>
                    </w:tabs>
                    <w:autoSpaceDE w:val="0"/>
                    <w:autoSpaceDN w:val="0"/>
                    <w:adjustRightInd w:val="0"/>
                    <w:spacing w:before="28" w:after="28"/>
                    <w:jc w:val="right"/>
                    <w:rPr>
                      <w:rFonts w:ascii="Arial" w:eastAsiaTheme="minorEastAsia" w:hAnsi="Arial" w:cs="Arial"/>
                      <w:b/>
                      <w:bCs/>
                      <w:sz w:val="18"/>
                      <w:szCs w:val="18"/>
                      <w:lang w:val="en-CA" w:eastAsia="en-CA"/>
                    </w:rPr>
                  </w:pPr>
                </w:p>
              </w:tc>
              <w:tc>
                <w:tcPr>
                  <w:tcW w:w="1276" w:type="dxa"/>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36,368</w:t>
                  </w:r>
                </w:p>
              </w:tc>
              <w:tc>
                <w:tcPr>
                  <w:tcW w:w="1134" w:type="dxa"/>
                  <w:vAlign w:val="center"/>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40,803</w:t>
                  </w:r>
                </w:p>
              </w:tc>
            </w:tr>
            <w:tr w:rsidR="00871E84" w:rsidRPr="00DA4373" w:rsidTr="005D067F">
              <w:tc>
                <w:tcPr>
                  <w:tcW w:w="6521" w:type="dxa"/>
                  <w:tcBorders>
                    <w:top w:val="single" w:sz="8" w:space="0" w:color="000000" w:themeColor="text1"/>
                    <w:bottom w:val="single" w:sz="12" w:space="0" w:color="000000" w:themeColor="text1"/>
                  </w:tcBorders>
                </w:tcPr>
                <w:p w:rsidR="00871E84" w:rsidRPr="00DA4373" w:rsidRDefault="00871E84" w:rsidP="005D067F">
                  <w:pPr>
                    <w:widowControl w:val="0"/>
                    <w:autoSpaceDE w:val="0"/>
                    <w:autoSpaceDN w:val="0"/>
                    <w:adjustRightInd w:val="0"/>
                    <w:spacing w:before="112" w:line="239" w:lineRule="exact"/>
                    <w:ind w:left="142" w:hanging="141"/>
                    <w:rPr>
                      <w:rFonts w:ascii="Arial" w:eastAsiaTheme="minorEastAsia" w:hAnsi="Arial" w:cs="Arial"/>
                      <w:b/>
                      <w:bCs/>
                      <w:sz w:val="18"/>
                      <w:szCs w:val="18"/>
                      <w:lang w:val="en-CA" w:eastAsia="en-CA"/>
                    </w:rPr>
                  </w:pPr>
                </w:p>
              </w:tc>
              <w:tc>
                <w:tcPr>
                  <w:tcW w:w="1559" w:type="dxa"/>
                  <w:tcBorders>
                    <w:top w:val="single" w:sz="8" w:space="0" w:color="000000" w:themeColor="text1"/>
                    <w:bottom w:val="single" w:sz="12" w:space="0" w:color="000000" w:themeColor="text1"/>
                  </w:tcBorders>
                  <w:vAlign w:val="bottom"/>
                  <w:hideMark/>
                </w:tcPr>
                <w:p w:rsidR="00871E84" w:rsidRPr="00DA4373" w:rsidRDefault="00871E84" w:rsidP="005D067F">
                  <w:pPr>
                    <w:widowControl w:val="0"/>
                    <w:tabs>
                      <w:tab w:val="right" w:pos="1212"/>
                      <w:tab w:val="left" w:pos="1238"/>
                    </w:tabs>
                    <w:autoSpaceDE w:val="0"/>
                    <w:autoSpaceDN w:val="0"/>
                    <w:adjustRightInd w:val="0"/>
                    <w:spacing w:before="113" w:line="239" w:lineRule="exact"/>
                    <w:ind w:left="142"/>
                    <w:jc w:val="right"/>
                    <w:rPr>
                      <w:rFonts w:ascii="Arial" w:eastAsiaTheme="minorEastAsia" w:hAnsi="Arial" w:cs="Arial"/>
                      <w:b/>
                      <w:bCs/>
                      <w:sz w:val="18"/>
                      <w:szCs w:val="18"/>
                      <w:lang w:val="en-CA" w:eastAsia="en-CA"/>
                    </w:rPr>
                  </w:pPr>
                </w:p>
              </w:tc>
              <w:tc>
                <w:tcPr>
                  <w:tcW w:w="1276" w:type="dxa"/>
                  <w:tcBorders>
                    <w:top w:val="single" w:sz="8" w:space="0" w:color="000000" w:themeColor="text1"/>
                    <w:bottom w:val="single" w:sz="12" w:space="0" w:color="000000" w:themeColor="text1"/>
                  </w:tcBorders>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29,740,780</w:t>
                  </w:r>
                </w:p>
              </w:tc>
              <w:tc>
                <w:tcPr>
                  <w:tcW w:w="1134" w:type="dxa"/>
                  <w:tcBorders>
                    <w:top w:val="single" w:sz="8" w:space="0" w:color="000000" w:themeColor="text1"/>
                    <w:bottom w:val="single" w:sz="12" w:space="0" w:color="000000" w:themeColor="text1"/>
                  </w:tcBorders>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29,197,343</w:t>
                  </w:r>
                </w:p>
              </w:tc>
            </w:tr>
          </w:tbl>
          <w:p w:rsidR="00871E84" w:rsidRPr="00DA4373" w:rsidRDefault="00871E84" w:rsidP="005D067F">
            <w:pPr>
              <w:widowControl w:val="0"/>
              <w:autoSpaceDE w:val="0"/>
              <w:autoSpaceDN w:val="0"/>
              <w:adjustRightInd w:val="0"/>
              <w:rPr>
                <w:rFonts w:ascii="Arial" w:eastAsiaTheme="minorEastAsia" w:hAnsi="Arial" w:cs="Arial"/>
                <w:b/>
                <w:color w:val="000000"/>
                <w:sz w:val="18"/>
                <w:szCs w:val="18"/>
                <w:lang w:val="en-CA" w:eastAsia="en-CA"/>
              </w:rPr>
            </w:pPr>
          </w:p>
          <w:tbl>
            <w:tblPr>
              <w:tblpPr w:leftFromText="180" w:rightFromText="180" w:vertAnchor="text" w:horzAnchor="margin" w:tblpX="-114" w:tblpY="77"/>
              <w:tblW w:w="10490" w:type="dxa"/>
              <w:tblLayout w:type="fixed"/>
              <w:tblCellMar>
                <w:left w:w="28" w:type="dxa"/>
                <w:right w:w="28" w:type="dxa"/>
              </w:tblCellMar>
              <w:tblLook w:val="04A0" w:firstRow="1" w:lastRow="0" w:firstColumn="1" w:lastColumn="0" w:noHBand="0" w:noVBand="1"/>
            </w:tblPr>
            <w:tblGrid>
              <w:gridCol w:w="6521"/>
              <w:gridCol w:w="1559"/>
              <w:gridCol w:w="1276"/>
              <w:gridCol w:w="1134"/>
            </w:tblGrid>
            <w:tr w:rsidR="00871E84" w:rsidRPr="00DA4373" w:rsidTr="005D067F">
              <w:trPr>
                <w:trHeight w:val="266"/>
              </w:trPr>
              <w:tc>
                <w:tcPr>
                  <w:tcW w:w="6521" w:type="dxa"/>
                  <w:vAlign w:val="center"/>
                  <w:hideMark/>
                </w:tcPr>
                <w:p w:rsidR="00871E84" w:rsidRPr="00DA4373" w:rsidRDefault="00871E84" w:rsidP="005D067F">
                  <w:pPr>
                    <w:widowControl w:val="0"/>
                    <w:autoSpaceDE w:val="0"/>
                    <w:autoSpaceDN w:val="0"/>
                    <w:adjustRightInd w:val="0"/>
                    <w:spacing w:line="239" w:lineRule="exact"/>
                    <w:ind w:left="142" w:right="288"/>
                    <w:rPr>
                      <w:rFonts w:ascii="Arial" w:eastAsiaTheme="minorEastAsia" w:hAnsi="Arial" w:cs="Arial"/>
                      <w:b/>
                      <w:sz w:val="18"/>
                      <w:szCs w:val="18"/>
                      <w:lang w:val="en-CA" w:eastAsia="en-CA"/>
                    </w:rPr>
                  </w:pPr>
                  <w:r w:rsidRPr="00DA4373">
                    <w:rPr>
                      <w:rFonts w:ascii="Arial" w:eastAsiaTheme="minorEastAsia" w:hAnsi="Arial" w:cs="Arial"/>
                      <w:b/>
                      <w:sz w:val="18"/>
                      <w:szCs w:val="18"/>
                      <w:lang w:val="en-CA" w:eastAsia="en-CA"/>
                    </w:rPr>
                    <w:t>Members’ equity</w:t>
                  </w:r>
                </w:p>
              </w:tc>
              <w:tc>
                <w:tcPr>
                  <w:tcW w:w="1559" w:type="dxa"/>
                  <w:vAlign w:val="bottom"/>
                  <w:hideMark/>
                </w:tcPr>
                <w:p w:rsidR="00871E84" w:rsidRPr="00DA4373" w:rsidRDefault="00871E84" w:rsidP="005D067F">
                  <w:pPr>
                    <w:widowControl w:val="0"/>
                    <w:tabs>
                      <w:tab w:val="right" w:pos="1212"/>
                      <w:tab w:val="left" w:pos="1238"/>
                    </w:tabs>
                    <w:autoSpaceDE w:val="0"/>
                    <w:autoSpaceDN w:val="0"/>
                    <w:adjustRightInd w:val="0"/>
                    <w:spacing w:before="28" w:after="28"/>
                    <w:jc w:val="right"/>
                    <w:rPr>
                      <w:rFonts w:ascii="Arial" w:eastAsiaTheme="minorEastAsia" w:hAnsi="Arial" w:cs="Arial"/>
                      <w:b/>
                      <w:bCs/>
                      <w:sz w:val="18"/>
                      <w:szCs w:val="18"/>
                      <w:lang w:val="en-CA" w:eastAsia="en-CA"/>
                    </w:rPr>
                  </w:pPr>
                </w:p>
              </w:tc>
              <w:tc>
                <w:tcPr>
                  <w:tcW w:w="1276" w:type="dxa"/>
                  <w:vAlign w:val="center"/>
                  <w:hideMark/>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p>
              </w:tc>
              <w:tc>
                <w:tcPr>
                  <w:tcW w:w="1134" w:type="dxa"/>
                  <w:vAlign w:val="center"/>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p>
              </w:tc>
            </w:tr>
            <w:tr w:rsidR="00871E84" w:rsidRPr="00DA4373" w:rsidTr="005D067F">
              <w:trPr>
                <w:trHeight w:val="266"/>
              </w:trPr>
              <w:tc>
                <w:tcPr>
                  <w:tcW w:w="6521" w:type="dxa"/>
                  <w:vAlign w:val="center"/>
                  <w:hideMark/>
                </w:tcPr>
                <w:p w:rsidR="00871E84" w:rsidRPr="00DA4373" w:rsidRDefault="00871E84" w:rsidP="005D067F">
                  <w:pPr>
                    <w:widowControl w:val="0"/>
                    <w:autoSpaceDE w:val="0"/>
                    <w:autoSpaceDN w:val="0"/>
                    <w:adjustRightInd w:val="0"/>
                    <w:spacing w:line="239" w:lineRule="exact"/>
                    <w:ind w:left="215" w:right="288"/>
                    <w:rPr>
                      <w:rFonts w:ascii="Arial" w:eastAsiaTheme="minorEastAsia" w:hAnsi="Arial" w:cs="Arial"/>
                      <w:sz w:val="18"/>
                      <w:szCs w:val="18"/>
                      <w:lang w:val="en-CA" w:eastAsia="en-CA"/>
                    </w:rPr>
                  </w:pPr>
                  <w:r w:rsidRPr="00DA4373">
                    <w:rPr>
                      <w:rFonts w:ascii="Arial" w:eastAsiaTheme="minorEastAsia" w:hAnsi="Arial" w:cs="Arial"/>
                      <w:sz w:val="18"/>
                      <w:szCs w:val="18"/>
                      <w:lang w:val="en-CA" w:eastAsia="en-CA"/>
                    </w:rPr>
                    <w:t xml:space="preserve">Equity shares </w:t>
                  </w:r>
                </w:p>
              </w:tc>
              <w:tc>
                <w:tcPr>
                  <w:tcW w:w="1559" w:type="dxa"/>
                  <w:vAlign w:val="bottom"/>
                  <w:hideMark/>
                </w:tcPr>
                <w:p w:rsidR="00871E84" w:rsidRPr="00DA4373" w:rsidRDefault="00871E84" w:rsidP="005D067F">
                  <w:pPr>
                    <w:widowControl w:val="0"/>
                    <w:tabs>
                      <w:tab w:val="right" w:pos="1212"/>
                      <w:tab w:val="left" w:pos="1238"/>
                    </w:tabs>
                    <w:autoSpaceDE w:val="0"/>
                    <w:autoSpaceDN w:val="0"/>
                    <w:adjustRightInd w:val="0"/>
                    <w:spacing w:before="28" w:after="28"/>
                    <w:jc w:val="right"/>
                    <w:rPr>
                      <w:rFonts w:ascii="Arial" w:eastAsiaTheme="minorEastAsia" w:hAnsi="Arial" w:cs="Arial"/>
                      <w:b/>
                      <w:bCs/>
                      <w:sz w:val="18"/>
                      <w:szCs w:val="18"/>
                      <w:lang w:val="en-CA" w:eastAsia="en-CA"/>
                    </w:rPr>
                  </w:pPr>
                </w:p>
              </w:tc>
              <w:tc>
                <w:tcPr>
                  <w:tcW w:w="1276" w:type="dxa"/>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660,198</w:t>
                  </w:r>
                </w:p>
              </w:tc>
              <w:tc>
                <w:tcPr>
                  <w:tcW w:w="1134" w:type="dxa"/>
                  <w:vAlign w:val="center"/>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650,389</w:t>
                  </w:r>
                </w:p>
              </w:tc>
            </w:tr>
            <w:tr w:rsidR="00871E84" w:rsidRPr="00DA4373" w:rsidTr="005D067F">
              <w:trPr>
                <w:trHeight w:val="266"/>
              </w:trPr>
              <w:tc>
                <w:tcPr>
                  <w:tcW w:w="6521" w:type="dxa"/>
                  <w:tcBorders>
                    <w:bottom w:val="single" w:sz="8" w:space="0" w:color="000000" w:themeColor="text1"/>
                  </w:tcBorders>
                  <w:vAlign w:val="center"/>
                  <w:hideMark/>
                </w:tcPr>
                <w:p w:rsidR="00871E84" w:rsidRPr="00DA4373" w:rsidRDefault="00871E84" w:rsidP="005D067F">
                  <w:pPr>
                    <w:widowControl w:val="0"/>
                    <w:autoSpaceDE w:val="0"/>
                    <w:autoSpaceDN w:val="0"/>
                    <w:adjustRightInd w:val="0"/>
                    <w:spacing w:line="239" w:lineRule="exact"/>
                    <w:ind w:left="215" w:right="288"/>
                    <w:rPr>
                      <w:rFonts w:ascii="Arial" w:eastAsiaTheme="minorEastAsia" w:hAnsi="Arial" w:cs="Arial"/>
                      <w:sz w:val="18"/>
                      <w:szCs w:val="18"/>
                      <w:lang w:val="en-CA" w:eastAsia="en-CA"/>
                    </w:rPr>
                  </w:pPr>
                  <w:r w:rsidRPr="00DA4373">
                    <w:rPr>
                      <w:rFonts w:ascii="Arial" w:eastAsiaTheme="minorEastAsia" w:hAnsi="Arial" w:cs="Arial"/>
                      <w:sz w:val="18"/>
                      <w:szCs w:val="18"/>
                      <w:lang w:val="en-CA" w:eastAsia="en-CA"/>
                    </w:rPr>
                    <w:t>Retained earnings</w:t>
                  </w:r>
                </w:p>
              </w:tc>
              <w:tc>
                <w:tcPr>
                  <w:tcW w:w="1559" w:type="dxa"/>
                  <w:tcBorders>
                    <w:bottom w:val="single" w:sz="8" w:space="0" w:color="000000" w:themeColor="text1"/>
                  </w:tcBorders>
                  <w:vAlign w:val="bottom"/>
                  <w:hideMark/>
                </w:tcPr>
                <w:p w:rsidR="00871E84" w:rsidRPr="00DA4373" w:rsidRDefault="00871E84" w:rsidP="005D067F">
                  <w:pPr>
                    <w:widowControl w:val="0"/>
                    <w:tabs>
                      <w:tab w:val="right" w:pos="1212"/>
                      <w:tab w:val="left" w:pos="1238"/>
                    </w:tabs>
                    <w:autoSpaceDE w:val="0"/>
                    <w:autoSpaceDN w:val="0"/>
                    <w:adjustRightInd w:val="0"/>
                    <w:spacing w:before="28" w:after="28"/>
                    <w:jc w:val="right"/>
                    <w:rPr>
                      <w:rFonts w:ascii="Arial" w:eastAsiaTheme="minorEastAsia" w:hAnsi="Arial" w:cs="Arial"/>
                      <w:b/>
                      <w:bCs/>
                      <w:sz w:val="18"/>
                      <w:szCs w:val="18"/>
                      <w:lang w:val="en-CA" w:eastAsia="en-CA"/>
                    </w:rPr>
                  </w:pPr>
                </w:p>
              </w:tc>
              <w:tc>
                <w:tcPr>
                  <w:tcW w:w="1276" w:type="dxa"/>
                  <w:tcBorders>
                    <w:bottom w:val="single" w:sz="8" w:space="0" w:color="000000" w:themeColor="text1"/>
                  </w:tcBorders>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1,735,469</w:t>
                  </w:r>
                </w:p>
              </w:tc>
              <w:tc>
                <w:tcPr>
                  <w:tcW w:w="1134" w:type="dxa"/>
                  <w:tcBorders>
                    <w:bottom w:val="single" w:sz="8" w:space="0" w:color="000000" w:themeColor="text1"/>
                  </w:tcBorders>
                  <w:vAlign w:val="center"/>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1,676,144</w:t>
                  </w:r>
                </w:p>
              </w:tc>
            </w:tr>
            <w:tr w:rsidR="00871E84" w:rsidRPr="00DA4373" w:rsidTr="005D067F">
              <w:trPr>
                <w:trHeight w:val="414"/>
              </w:trPr>
              <w:tc>
                <w:tcPr>
                  <w:tcW w:w="6521" w:type="dxa"/>
                  <w:tcBorders>
                    <w:top w:val="single" w:sz="8" w:space="0" w:color="000000" w:themeColor="text1"/>
                    <w:bottom w:val="single" w:sz="8" w:space="0" w:color="000000" w:themeColor="text1"/>
                  </w:tcBorders>
                  <w:vAlign w:val="center"/>
                </w:tcPr>
                <w:p w:rsidR="00871E84" w:rsidRPr="00DA4373" w:rsidRDefault="00871E84" w:rsidP="005D067F">
                  <w:pPr>
                    <w:widowControl w:val="0"/>
                    <w:autoSpaceDE w:val="0"/>
                    <w:autoSpaceDN w:val="0"/>
                    <w:adjustRightInd w:val="0"/>
                    <w:ind w:left="141" w:hanging="141"/>
                    <w:jc w:val="right"/>
                    <w:rPr>
                      <w:rFonts w:ascii="Arial" w:eastAsiaTheme="minorEastAsia" w:hAnsi="Arial" w:cs="Arial"/>
                      <w:b/>
                      <w:bCs/>
                      <w:sz w:val="18"/>
                      <w:szCs w:val="18"/>
                      <w:lang w:val="en-CA" w:eastAsia="en-CA"/>
                    </w:rPr>
                  </w:pPr>
                </w:p>
              </w:tc>
              <w:tc>
                <w:tcPr>
                  <w:tcW w:w="1559" w:type="dxa"/>
                  <w:tcBorders>
                    <w:top w:val="single" w:sz="8" w:space="0" w:color="000000" w:themeColor="text1"/>
                    <w:bottom w:val="single" w:sz="8" w:space="0" w:color="000000" w:themeColor="text1"/>
                  </w:tcBorders>
                  <w:vAlign w:val="center"/>
                  <w:hideMark/>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
                      <w:bCs/>
                      <w:sz w:val="18"/>
                      <w:szCs w:val="18"/>
                      <w:lang w:val="en-CA" w:eastAsia="en-CA"/>
                    </w:rPr>
                  </w:pPr>
                </w:p>
              </w:tc>
              <w:tc>
                <w:tcPr>
                  <w:tcW w:w="1276" w:type="dxa"/>
                  <w:tcBorders>
                    <w:top w:val="single" w:sz="8" w:space="0" w:color="000000" w:themeColor="text1"/>
                    <w:bottom w:val="single" w:sz="8" w:space="0" w:color="000000" w:themeColor="text1"/>
                  </w:tcBorders>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2,395,667</w:t>
                  </w:r>
                </w:p>
              </w:tc>
              <w:tc>
                <w:tcPr>
                  <w:tcW w:w="1134" w:type="dxa"/>
                  <w:tcBorders>
                    <w:top w:val="single" w:sz="8" w:space="0" w:color="000000" w:themeColor="text1"/>
                    <w:bottom w:val="single" w:sz="8" w:space="0" w:color="000000" w:themeColor="text1"/>
                  </w:tcBorders>
                  <w:vAlign w:val="center"/>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2,326,533</w:t>
                  </w:r>
                </w:p>
              </w:tc>
            </w:tr>
            <w:tr w:rsidR="00871E84" w:rsidRPr="00DA4373" w:rsidTr="005D067F">
              <w:trPr>
                <w:trHeight w:val="414"/>
              </w:trPr>
              <w:tc>
                <w:tcPr>
                  <w:tcW w:w="6521" w:type="dxa"/>
                  <w:tcBorders>
                    <w:top w:val="single" w:sz="8" w:space="0" w:color="000000" w:themeColor="text1"/>
                    <w:bottom w:val="single" w:sz="12" w:space="0" w:color="000000" w:themeColor="text1"/>
                  </w:tcBorders>
                  <w:vAlign w:val="center"/>
                </w:tcPr>
                <w:p w:rsidR="00871E84" w:rsidRPr="00DA4373" w:rsidRDefault="00871E84" w:rsidP="005D067F">
                  <w:pPr>
                    <w:widowControl w:val="0"/>
                    <w:autoSpaceDE w:val="0"/>
                    <w:autoSpaceDN w:val="0"/>
                    <w:adjustRightInd w:val="0"/>
                    <w:ind w:left="141" w:hanging="141"/>
                    <w:jc w:val="right"/>
                    <w:rPr>
                      <w:rFonts w:ascii="Arial" w:eastAsiaTheme="minorEastAsia" w:hAnsi="Arial" w:cs="Arial"/>
                      <w:b/>
                      <w:bCs/>
                      <w:sz w:val="18"/>
                      <w:szCs w:val="18"/>
                      <w:lang w:val="en-CA" w:eastAsia="en-CA"/>
                    </w:rPr>
                  </w:pPr>
                </w:p>
              </w:tc>
              <w:tc>
                <w:tcPr>
                  <w:tcW w:w="1559" w:type="dxa"/>
                  <w:tcBorders>
                    <w:top w:val="single" w:sz="8" w:space="0" w:color="000000" w:themeColor="text1"/>
                    <w:bottom w:val="single" w:sz="12" w:space="0" w:color="000000" w:themeColor="text1"/>
                  </w:tcBorders>
                  <w:vAlign w:val="center"/>
                  <w:hideMark/>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
                      <w:bCs/>
                      <w:sz w:val="18"/>
                      <w:szCs w:val="18"/>
                      <w:lang w:val="en-CA" w:eastAsia="en-CA"/>
                    </w:rPr>
                  </w:pPr>
                </w:p>
              </w:tc>
              <w:tc>
                <w:tcPr>
                  <w:tcW w:w="1276" w:type="dxa"/>
                  <w:tcBorders>
                    <w:top w:val="single" w:sz="8" w:space="0" w:color="000000" w:themeColor="text1"/>
                    <w:bottom w:val="single" w:sz="12" w:space="0" w:color="000000" w:themeColor="text1"/>
                  </w:tcBorders>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32,136,447</w:t>
                  </w:r>
                </w:p>
              </w:tc>
              <w:tc>
                <w:tcPr>
                  <w:tcW w:w="1134" w:type="dxa"/>
                  <w:tcBorders>
                    <w:top w:val="single" w:sz="8" w:space="0" w:color="000000" w:themeColor="text1"/>
                    <w:bottom w:val="single" w:sz="12" w:space="0" w:color="000000" w:themeColor="text1"/>
                  </w:tcBorders>
                  <w:vAlign w:val="center"/>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31,523,876</w:t>
                  </w:r>
                </w:p>
              </w:tc>
            </w:tr>
          </w:tbl>
          <w:p w:rsidR="00871E84" w:rsidRPr="00DA4373" w:rsidRDefault="00871E84" w:rsidP="005D067F">
            <w:pPr>
              <w:widowControl w:val="0"/>
              <w:autoSpaceDE w:val="0"/>
              <w:autoSpaceDN w:val="0"/>
              <w:adjustRightInd w:val="0"/>
              <w:rPr>
                <w:rFonts w:ascii="Arial" w:eastAsiaTheme="minorEastAsia" w:hAnsi="Arial" w:cs="Arial"/>
                <w:b/>
                <w:color w:val="000000"/>
                <w:sz w:val="18"/>
                <w:szCs w:val="18"/>
                <w:lang w:val="en-CA" w:eastAsia="en-CA"/>
              </w:rPr>
            </w:pPr>
          </w:p>
          <w:p w:rsidR="00871E84" w:rsidRPr="00DA4373" w:rsidRDefault="00871E84" w:rsidP="005D067F">
            <w:pPr>
              <w:widowControl w:val="0"/>
              <w:autoSpaceDE w:val="0"/>
              <w:autoSpaceDN w:val="0"/>
              <w:adjustRightInd w:val="0"/>
              <w:rPr>
                <w:rFonts w:ascii="Arial" w:eastAsiaTheme="minorEastAsia" w:hAnsi="Arial" w:cs="Arial"/>
                <w:b/>
                <w:color w:val="000000"/>
                <w:sz w:val="18"/>
                <w:szCs w:val="18"/>
                <w:lang w:val="en-CA" w:eastAsia="en-CA"/>
              </w:rPr>
            </w:pPr>
            <w:r w:rsidRPr="00DA4373">
              <w:rPr>
                <w:rFonts w:ascii="Arial" w:eastAsiaTheme="minorEastAsia" w:hAnsi="Arial" w:cs="Arial"/>
                <w:b/>
                <w:color w:val="000000"/>
                <w:sz w:val="18"/>
                <w:szCs w:val="18"/>
                <w:lang w:val="en-CA" w:eastAsia="en-CA"/>
              </w:rPr>
              <w:t>Approved on behalf of the Board of Directors</w:t>
            </w:r>
          </w:p>
          <w:p w:rsidR="00871E84" w:rsidRPr="00DA4373" w:rsidRDefault="00871E84" w:rsidP="005D067F">
            <w:pPr>
              <w:widowControl w:val="0"/>
              <w:autoSpaceDE w:val="0"/>
              <w:autoSpaceDN w:val="0"/>
              <w:adjustRightInd w:val="0"/>
              <w:rPr>
                <w:rFonts w:ascii="Arial" w:eastAsiaTheme="minorEastAsia" w:hAnsi="Arial" w:cs="Arial"/>
                <w:color w:val="000000"/>
                <w:sz w:val="18"/>
                <w:szCs w:val="18"/>
                <w:lang w:val="en-CA" w:eastAsia="en-CA"/>
              </w:rPr>
            </w:pPr>
            <w:r w:rsidRPr="00DA4373">
              <w:rPr>
                <w:rFonts w:ascii="Arial" w:eastAsiaTheme="minorEastAsia" w:hAnsi="Arial" w:cs="Arial"/>
                <w:color w:val="000000"/>
                <w:sz w:val="18"/>
                <w:szCs w:val="18"/>
                <w:lang w:val="en-CA" w:eastAsia="en-CA"/>
              </w:rPr>
              <w:tab/>
            </w:r>
            <w:r w:rsidRPr="00DA4373">
              <w:rPr>
                <w:rFonts w:ascii="Arial" w:eastAsiaTheme="minorEastAsia" w:hAnsi="Arial" w:cs="Arial"/>
                <w:color w:val="000000"/>
                <w:sz w:val="18"/>
                <w:szCs w:val="18"/>
                <w:lang w:val="en-CA" w:eastAsia="en-CA"/>
              </w:rPr>
              <w:tab/>
            </w:r>
            <w:r w:rsidRPr="00DA4373">
              <w:rPr>
                <w:rFonts w:ascii="Arial" w:eastAsiaTheme="minorEastAsia" w:hAnsi="Arial" w:cs="Arial"/>
                <w:color w:val="000000"/>
                <w:sz w:val="18"/>
                <w:szCs w:val="18"/>
                <w:lang w:val="en-CA" w:eastAsia="en-CA"/>
              </w:rPr>
              <w:tab/>
            </w:r>
            <w:r w:rsidRPr="00DA4373">
              <w:rPr>
                <w:rFonts w:ascii="Arial" w:eastAsiaTheme="minorEastAsia" w:hAnsi="Arial" w:cs="Arial"/>
                <w:color w:val="000000"/>
                <w:sz w:val="18"/>
                <w:szCs w:val="18"/>
                <w:lang w:val="en-CA" w:eastAsia="en-CA"/>
              </w:rPr>
              <w:tab/>
            </w:r>
            <w:r w:rsidRPr="00DA4373">
              <w:rPr>
                <w:rFonts w:ascii="Arial" w:eastAsiaTheme="minorEastAsia" w:hAnsi="Arial" w:cs="Arial"/>
                <w:color w:val="000000"/>
                <w:sz w:val="18"/>
                <w:szCs w:val="18"/>
                <w:lang w:val="en-CA" w:eastAsia="en-CA"/>
              </w:rPr>
              <w:tab/>
            </w:r>
            <w:r w:rsidRPr="00DA4373">
              <w:rPr>
                <w:rFonts w:ascii="Arial" w:eastAsiaTheme="minorEastAsia" w:hAnsi="Arial" w:cs="Arial"/>
                <w:color w:val="000000"/>
                <w:sz w:val="18"/>
                <w:szCs w:val="18"/>
                <w:lang w:val="en-CA" w:eastAsia="en-CA"/>
              </w:rPr>
              <w:tab/>
            </w:r>
            <w:r w:rsidRPr="00DA4373">
              <w:rPr>
                <w:rFonts w:ascii="Arial" w:eastAsiaTheme="minorEastAsia" w:hAnsi="Arial" w:cs="Arial"/>
                <w:color w:val="000000"/>
                <w:sz w:val="18"/>
                <w:szCs w:val="18"/>
                <w:lang w:val="en-CA" w:eastAsia="en-CA"/>
              </w:rPr>
              <w:tab/>
            </w:r>
            <w:r w:rsidRPr="00DA4373">
              <w:rPr>
                <w:rFonts w:ascii="Arial" w:eastAsiaTheme="minorEastAsia" w:hAnsi="Arial" w:cs="Arial"/>
                <w:color w:val="000000"/>
                <w:sz w:val="18"/>
                <w:szCs w:val="18"/>
                <w:lang w:val="en-CA" w:eastAsia="en-CA"/>
              </w:rPr>
              <w:tab/>
            </w:r>
            <w:r w:rsidRPr="00DA4373">
              <w:rPr>
                <w:rFonts w:ascii="Arial" w:eastAsiaTheme="minorEastAsia" w:hAnsi="Arial" w:cs="Arial"/>
                <w:color w:val="000000"/>
                <w:sz w:val="18"/>
                <w:szCs w:val="18"/>
                <w:lang w:val="en-CA" w:eastAsia="en-CA"/>
              </w:rPr>
              <w:tab/>
            </w:r>
            <w:r w:rsidRPr="00DA4373">
              <w:rPr>
                <w:rFonts w:ascii="Arial" w:eastAsiaTheme="minorEastAsia" w:hAnsi="Arial" w:cs="Arial"/>
                <w:color w:val="000000"/>
                <w:sz w:val="18"/>
                <w:szCs w:val="18"/>
                <w:lang w:val="en-CA" w:eastAsia="en-CA"/>
              </w:rPr>
              <w:tab/>
            </w:r>
            <w:r w:rsidRPr="00DA4373">
              <w:rPr>
                <w:rFonts w:ascii="Arial" w:eastAsiaTheme="minorEastAsia" w:hAnsi="Arial" w:cs="Arial"/>
                <w:color w:val="000000"/>
                <w:sz w:val="18"/>
                <w:szCs w:val="18"/>
                <w:lang w:val="en-CA" w:eastAsia="en-CA"/>
              </w:rPr>
              <w:tab/>
            </w:r>
            <w:r w:rsidRPr="00DA4373">
              <w:rPr>
                <w:rFonts w:ascii="Arial" w:eastAsiaTheme="minorEastAsia" w:hAnsi="Arial" w:cs="Arial"/>
                <w:color w:val="000000"/>
                <w:sz w:val="18"/>
                <w:szCs w:val="18"/>
                <w:lang w:val="en-CA" w:eastAsia="en-CA"/>
              </w:rPr>
              <w:tab/>
            </w:r>
            <w:r w:rsidRPr="00DA4373">
              <w:rPr>
                <w:rFonts w:ascii="Arial" w:eastAsiaTheme="minorEastAsia" w:hAnsi="Arial" w:cs="Arial"/>
                <w:color w:val="000000"/>
                <w:sz w:val="18"/>
                <w:szCs w:val="18"/>
                <w:lang w:val="en-CA" w:eastAsia="en-CA"/>
              </w:rPr>
              <w:tab/>
            </w:r>
            <w:r w:rsidRPr="00DA4373">
              <w:rPr>
                <w:rFonts w:ascii="Arial" w:eastAsiaTheme="minorEastAsia" w:hAnsi="Arial" w:cs="Arial"/>
                <w:noProof/>
                <w:color w:val="000000"/>
                <w:sz w:val="22"/>
                <w:szCs w:val="22"/>
                <w:lang w:val="en-CA" w:eastAsia="en-CA"/>
              </w:rPr>
              <w:drawing>
                <wp:inline distT="0" distB="0" distL="0" distR="0" wp14:anchorId="64B82FB6" wp14:editId="090B4E89">
                  <wp:extent cx="560070" cy="182880"/>
                  <wp:effectExtent l="19050" t="0" r="0" b="0"/>
                  <wp:docPr id="4" name="Picture 0" descr="MNP_logoLLP34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P_logoLLP343C.jpg"/>
                          <pic:cNvPicPr/>
                        </pic:nvPicPr>
                        <pic:blipFill>
                          <a:blip r:embed="rId10" cstate="print"/>
                          <a:stretch>
                            <a:fillRect/>
                          </a:stretch>
                        </pic:blipFill>
                        <pic:spPr>
                          <a:xfrm>
                            <a:off x="0" y="0"/>
                            <a:ext cx="560070" cy="182880"/>
                          </a:xfrm>
                          <a:prstGeom prst="rect">
                            <a:avLst/>
                          </a:prstGeom>
                        </pic:spPr>
                      </pic:pic>
                    </a:graphicData>
                  </a:graphic>
                </wp:inline>
              </w:drawing>
            </w:r>
          </w:p>
          <w:p w:rsidR="00871E84" w:rsidRPr="00DA4373" w:rsidRDefault="00871E84" w:rsidP="005D067F">
            <w:pPr>
              <w:rPr>
                <w:rFonts w:ascii="Arial" w:eastAsiaTheme="minorEastAsia" w:hAnsi="Arial" w:cs="Arial"/>
                <w:b/>
                <w:bCs/>
                <w:sz w:val="18"/>
                <w:szCs w:val="18"/>
                <w:lang w:val="en-CA" w:eastAsia="en-CA"/>
              </w:rPr>
            </w:pPr>
            <w:r w:rsidRPr="00DA4373">
              <w:rPr>
                <w:rFonts w:ascii="Arial" w:eastAsiaTheme="minorEastAsia" w:hAnsi="Arial" w:cs="Arial"/>
                <w:sz w:val="18"/>
                <w:szCs w:val="18"/>
                <w:u w:val="single"/>
                <w:lang w:val="en-CA" w:eastAsia="en-CA"/>
              </w:rPr>
              <w:tab/>
            </w:r>
            <w:r w:rsidRPr="00DA4373">
              <w:rPr>
                <w:rFonts w:ascii="Arial" w:eastAsiaTheme="minorEastAsia" w:hAnsi="Arial" w:cs="Arial"/>
                <w:sz w:val="18"/>
                <w:szCs w:val="18"/>
                <w:u w:val="single"/>
                <w:lang w:val="en-CA" w:eastAsia="en-CA"/>
              </w:rPr>
              <w:tab/>
            </w:r>
            <w:r w:rsidRPr="00DA4373">
              <w:rPr>
                <w:rFonts w:ascii="Arial" w:eastAsiaTheme="minorEastAsia" w:hAnsi="Arial" w:cs="Arial"/>
                <w:sz w:val="18"/>
                <w:szCs w:val="18"/>
                <w:u w:val="single"/>
                <w:lang w:val="en-CA" w:eastAsia="en-CA"/>
              </w:rPr>
              <w:tab/>
            </w:r>
            <w:r w:rsidRPr="00DA4373">
              <w:rPr>
                <w:rFonts w:ascii="Arial" w:eastAsiaTheme="minorEastAsia" w:hAnsi="Arial" w:cs="Arial"/>
                <w:sz w:val="18"/>
                <w:szCs w:val="18"/>
                <w:lang w:val="en-CA" w:eastAsia="en-CA"/>
              </w:rPr>
              <w:tab/>
            </w:r>
            <w:r w:rsidRPr="00DA4373">
              <w:rPr>
                <w:rFonts w:ascii="Arial" w:eastAsiaTheme="minorEastAsia" w:hAnsi="Arial" w:cs="Arial"/>
                <w:sz w:val="18"/>
                <w:szCs w:val="18"/>
                <w:u w:val="single"/>
                <w:lang w:val="en-CA" w:eastAsia="en-CA"/>
              </w:rPr>
              <w:tab/>
            </w:r>
            <w:r w:rsidRPr="00DA4373">
              <w:rPr>
                <w:rFonts w:ascii="Arial" w:eastAsiaTheme="minorEastAsia" w:hAnsi="Arial" w:cs="Arial"/>
                <w:sz w:val="18"/>
                <w:szCs w:val="18"/>
                <w:u w:val="single"/>
                <w:lang w:val="en-CA" w:eastAsia="en-CA"/>
              </w:rPr>
              <w:tab/>
            </w:r>
            <w:r w:rsidRPr="00DA4373">
              <w:rPr>
                <w:rFonts w:ascii="Arial" w:eastAsiaTheme="minorEastAsia" w:hAnsi="Arial" w:cs="Arial"/>
                <w:sz w:val="18"/>
                <w:szCs w:val="18"/>
                <w:u w:val="single"/>
                <w:lang w:val="en-CA" w:eastAsia="en-CA"/>
              </w:rPr>
              <w:tab/>
            </w:r>
            <w:r w:rsidRPr="00DA4373">
              <w:rPr>
                <w:rFonts w:ascii="Arial" w:eastAsiaTheme="minorEastAsia" w:hAnsi="Arial" w:cs="Arial"/>
                <w:sz w:val="18"/>
                <w:szCs w:val="18"/>
                <w:u w:val="single"/>
                <w:lang w:val="en-CA" w:eastAsia="en-CA"/>
              </w:rPr>
              <w:tab/>
            </w:r>
            <w:r w:rsidRPr="00DA4373">
              <w:rPr>
                <w:rFonts w:ascii="Arial" w:eastAsiaTheme="minorEastAsia" w:hAnsi="Arial" w:cs="Arial"/>
                <w:sz w:val="18"/>
                <w:szCs w:val="18"/>
                <w:lang w:val="en-CA" w:eastAsia="en-CA"/>
              </w:rPr>
              <w:br w:type="page"/>
            </w:r>
          </w:p>
          <w:p w:rsidR="00871E84" w:rsidRPr="00DA4373" w:rsidRDefault="00871E84" w:rsidP="005D067F">
            <w:pPr>
              <w:widowControl w:val="0"/>
              <w:tabs>
                <w:tab w:val="left" w:pos="10348"/>
              </w:tabs>
              <w:autoSpaceDE w:val="0"/>
              <w:autoSpaceDN w:val="0"/>
              <w:adjustRightInd w:val="0"/>
              <w:jc w:val="center"/>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Compensation Employees Credit Union</w:t>
            </w:r>
          </w:p>
          <w:p w:rsidR="00871E84" w:rsidRPr="00DA4373" w:rsidRDefault="00871E84" w:rsidP="005D067F">
            <w:pPr>
              <w:widowControl w:val="0"/>
              <w:tabs>
                <w:tab w:val="left" w:pos="10348"/>
              </w:tabs>
              <w:autoSpaceDE w:val="0"/>
              <w:autoSpaceDN w:val="0"/>
              <w:adjustRightInd w:val="0"/>
              <w:jc w:val="center"/>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Summarized Statements of Comprehensive Income and Changes in Members’ Equity</w:t>
            </w:r>
          </w:p>
          <w:p w:rsidR="00871E84" w:rsidRPr="00DA4373" w:rsidRDefault="00871E84" w:rsidP="005D067F">
            <w:pPr>
              <w:widowControl w:val="0"/>
              <w:tabs>
                <w:tab w:val="left" w:pos="10348"/>
              </w:tabs>
              <w:autoSpaceDE w:val="0"/>
              <w:autoSpaceDN w:val="0"/>
              <w:adjustRightInd w:val="0"/>
              <w:jc w:val="center"/>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December 31, 2017</w:t>
            </w:r>
          </w:p>
          <w:p w:rsidR="00871E84" w:rsidRPr="00DA4373" w:rsidRDefault="00871E84" w:rsidP="005D067F">
            <w:pPr>
              <w:widowControl w:val="0"/>
              <w:autoSpaceDE w:val="0"/>
              <w:autoSpaceDN w:val="0"/>
              <w:adjustRightInd w:val="0"/>
              <w:rPr>
                <w:rFonts w:ascii="Arial" w:eastAsiaTheme="minorEastAsia" w:hAnsi="Arial" w:cs="Arial"/>
                <w:color w:val="000000"/>
                <w:sz w:val="18"/>
                <w:szCs w:val="18"/>
                <w:lang w:val="en-CA" w:eastAsia="en-CA"/>
              </w:rPr>
            </w:pPr>
          </w:p>
          <w:tbl>
            <w:tblPr>
              <w:tblW w:w="10517" w:type="dxa"/>
              <w:tblLayout w:type="fixed"/>
              <w:tblLook w:val="0000" w:firstRow="0" w:lastRow="0" w:firstColumn="0" w:lastColumn="0" w:noHBand="0" w:noVBand="0"/>
            </w:tblPr>
            <w:tblGrid>
              <w:gridCol w:w="7965"/>
              <w:gridCol w:w="1276"/>
              <w:gridCol w:w="1276"/>
            </w:tblGrid>
            <w:tr w:rsidR="00871E84" w:rsidRPr="00DA4373" w:rsidTr="005D067F">
              <w:trPr>
                <w:trHeight w:val="414"/>
              </w:trPr>
              <w:tc>
                <w:tcPr>
                  <w:tcW w:w="7965" w:type="dxa"/>
                  <w:tcBorders>
                    <w:left w:val="nil"/>
                    <w:bottom w:val="single" w:sz="8" w:space="0" w:color="000000"/>
                    <w:right w:val="nil"/>
                  </w:tcBorders>
                  <w:tcMar>
                    <w:left w:w="0"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sz w:val="18"/>
                      <w:szCs w:val="18"/>
                      <w:lang w:val="en-CA" w:eastAsia="en-CA"/>
                    </w:rPr>
                  </w:pPr>
                </w:p>
              </w:tc>
              <w:tc>
                <w:tcPr>
                  <w:tcW w:w="1276" w:type="dxa"/>
                  <w:tcBorders>
                    <w:left w:val="nil"/>
                    <w:bottom w:val="single" w:sz="8" w:space="0" w:color="000000"/>
                    <w:right w:val="nil"/>
                  </w:tcBorders>
                  <w:tcMar>
                    <w:left w:w="28" w:type="dxa"/>
                    <w:right w:w="28" w:type="dxa"/>
                  </w:tcMar>
                  <w:vAlign w:val="center"/>
                </w:tcPr>
                <w:p w:rsidR="00871E84" w:rsidRPr="00DA4373" w:rsidRDefault="00871E84" w:rsidP="005D067F">
                  <w:pPr>
                    <w:widowControl w:val="0"/>
                    <w:autoSpaceDE w:val="0"/>
                    <w:autoSpaceDN w:val="0"/>
                    <w:adjustRightInd w:val="0"/>
                    <w:ind w:right="57"/>
                    <w:jc w:val="right"/>
                    <w:rPr>
                      <w:rFonts w:ascii="Arial" w:eastAsiaTheme="minorEastAsia" w:hAnsi="Arial" w:cs="Arial"/>
                      <w:b/>
                      <w:bCs/>
                      <w:i/>
                      <w:iCs/>
                      <w:sz w:val="18"/>
                      <w:szCs w:val="18"/>
                      <w:lang w:val="en-CA" w:eastAsia="en-CA"/>
                    </w:rPr>
                  </w:pPr>
                  <w:r w:rsidRPr="00DA4373">
                    <w:rPr>
                      <w:rFonts w:ascii="Arial" w:eastAsiaTheme="minorEastAsia" w:hAnsi="Arial" w:cs="Arial"/>
                      <w:b/>
                      <w:bCs/>
                      <w:i/>
                      <w:iCs/>
                      <w:sz w:val="18"/>
                      <w:szCs w:val="18"/>
                      <w:lang w:val="en-CA" w:eastAsia="en-CA"/>
                    </w:rPr>
                    <w:t>2017</w:t>
                  </w:r>
                </w:p>
              </w:tc>
              <w:tc>
                <w:tcPr>
                  <w:tcW w:w="1276" w:type="dxa"/>
                  <w:tcBorders>
                    <w:left w:val="nil"/>
                    <w:bottom w:val="single" w:sz="8" w:space="0" w:color="000000"/>
                    <w:right w:val="nil"/>
                  </w:tcBorders>
                  <w:tcMar>
                    <w:left w:w="0" w:type="dxa"/>
                    <w:right w:w="28" w:type="dxa"/>
                  </w:tcMar>
                  <w:vAlign w:val="center"/>
                </w:tcPr>
                <w:p w:rsidR="00871E84" w:rsidRPr="00DA4373" w:rsidRDefault="00871E84" w:rsidP="005D067F">
                  <w:pPr>
                    <w:widowControl w:val="0"/>
                    <w:autoSpaceDE w:val="0"/>
                    <w:autoSpaceDN w:val="0"/>
                    <w:adjustRightInd w:val="0"/>
                    <w:ind w:right="57"/>
                    <w:jc w:val="right"/>
                    <w:rPr>
                      <w:rFonts w:ascii="Arial" w:eastAsiaTheme="minorEastAsia" w:hAnsi="Arial" w:cs="Arial"/>
                      <w:i/>
                      <w:iCs/>
                      <w:sz w:val="18"/>
                      <w:szCs w:val="18"/>
                      <w:lang w:val="en-CA" w:eastAsia="en-CA"/>
                    </w:rPr>
                  </w:pPr>
                  <w:r w:rsidRPr="00DA4373">
                    <w:rPr>
                      <w:rFonts w:ascii="Arial" w:eastAsiaTheme="minorEastAsia" w:hAnsi="Arial" w:cs="Arial"/>
                      <w:i/>
                      <w:iCs/>
                      <w:sz w:val="18"/>
                      <w:szCs w:val="18"/>
                      <w:lang w:val="en-CA" w:eastAsia="en-CA"/>
                    </w:rPr>
                    <w:t>2016</w:t>
                  </w:r>
                </w:p>
              </w:tc>
            </w:tr>
            <w:tr w:rsidR="00871E84" w:rsidRPr="00DA4373" w:rsidTr="005D067F">
              <w:trPr>
                <w:trHeight w:val="266"/>
              </w:trPr>
              <w:tc>
                <w:tcPr>
                  <w:tcW w:w="7965" w:type="dxa"/>
                  <w:tcBorders>
                    <w:top w:val="single" w:sz="8" w:space="0" w:color="000000"/>
                    <w:left w:val="nil"/>
                    <w:right w:val="nil"/>
                  </w:tcBorders>
                  <w:shd w:val="clear" w:color="auto" w:fill="auto"/>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Interest income</w:t>
                  </w:r>
                </w:p>
              </w:tc>
              <w:tc>
                <w:tcPr>
                  <w:tcW w:w="1276" w:type="dxa"/>
                  <w:tcBorders>
                    <w:top w:val="single" w:sz="8" w:space="0" w:color="000000"/>
                    <w:left w:val="nil"/>
                    <w:right w:val="nil"/>
                  </w:tcBorders>
                  <w:shd w:val="clear" w:color="auto" w:fill="auto"/>
                  <w:tcMar>
                    <w:left w:w="28"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1,022,274</w:t>
                  </w:r>
                </w:p>
              </w:tc>
              <w:tc>
                <w:tcPr>
                  <w:tcW w:w="1276" w:type="dxa"/>
                  <w:tcBorders>
                    <w:top w:val="single" w:sz="8" w:space="0" w:color="000000"/>
                    <w:left w:val="nil"/>
                    <w:right w:val="nil"/>
                  </w:tcBorders>
                  <w:shd w:val="clear" w:color="auto" w:fill="auto"/>
                  <w:tcMar>
                    <w:left w:w="0"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1,025,168</w:t>
                  </w:r>
                </w:p>
              </w:tc>
            </w:tr>
            <w:tr w:rsidR="00871E84" w:rsidRPr="00DA4373" w:rsidTr="005D067F">
              <w:trPr>
                <w:trHeight w:val="266"/>
              </w:trPr>
              <w:tc>
                <w:tcPr>
                  <w:tcW w:w="7965" w:type="dxa"/>
                  <w:tcBorders>
                    <w:left w:val="nil"/>
                    <w:bottom w:val="single" w:sz="2"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Interest expense</w:t>
                  </w:r>
                </w:p>
              </w:tc>
              <w:tc>
                <w:tcPr>
                  <w:tcW w:w="1276" w:type="dxa"/>
                  <w:tcBorders>
                    <w:left w:val="nil"/>
                    <w:bottom w:val="single" w:sz="2" w:space="0" w:color="auto"/>
                    <w:right w:val="nil"/>
                  </w:tcBorders>
                  <w:tcMar>
                    <w:left w:w="28"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
                      <w:sz w:val="18"/>
                      <w:szCs w:val="18"/>
                      <w:lang w:val="en-CA" w:eastAsia="en-CA"/>
                    </w:rPr>
                  </w:pPr>
                  <w:r w:rsidRPr="00DA4373">
                    <w:rPr>
                      <w:rFonts w:ascii="Arial" w:eastAsiaTheme="minorEastAsia" w:hAnsi="Arial" w:cs="Arial"/>
                      <w:b/>
                      <w:sz w:val="18"/>
                      <w:szCs w:val="18"/>
                      <w:lang w:val="en-CA" w:eastAsia="en-CA"/>
                    </w:rPr>
                    <w:t>450,465</w:t>
                  </w:r>
                </w:p>
              </w:tc>
              <w:tc>
                <w:tcPr>
                  <w:tcW w:w="1276" w:type="dxa"/>
                  <w:tcBorders>
                    <w:left w:val="nil"/>
                    <w:bottom w:val="single" w:sz="2"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sz w:val="18"/>
                      <w:szCs w:val="18"/>
                      <w:lang w:val="en-CA" w:eastAsia="en-CA"/>
                    </w:rPr>
                  </w:pPr>
                  <w:r w:rsidRPr="00DA4373">
                    <w:rPr>
                      <w:rFonts w:ascii="Arial" w:eastAsiaTheme="minorEastAsia" w:hAnsi="Arial" w:cs="Arial"/>
                      <w:sz w:val="18"/>
                      <w:szCs w:val="18"/>
                      <w:lang w:val="en-CA" w:eastAsia="en-CA"/>
                    </w:rPr>
                    <w:t>443,953</w:t>
                  </w:r>
                </w:p>
              </w:tc>
            </w:tr>
            <w:tr w:rsidR="00871E84" w:rsidRPr="00DA4373" w:rsidTr="005D067F">
              <w:trPr>
                <w:trHeight w:val="414"/>
              </w:trPr>
              <w:tc>
                <w:tcPr>
                  <w:tcW w:w="7965" w:type="dxa"/>
                  <w:tcBorders>
                    <w:top w:val="single" w:sz="2" w:space="0" w:color="auto"/>
                    <w:left w:val="nil"/>
                    <w:right w:val="nil"/>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 xml:space="preserve">Financial margin </w:t>
                  </w:r>
                </w:p>
              </w:tc>
              <w:tc>
                <w:tcPr>
                  <w:tcW w:w="1276" w:type="dxa"/>
                  <w:tcBorders>
                    <w:top w:val="single" w:sz="2" w:space="0" w:color="auto"/>
                    <w:left w:val="nil"/>
                    <w:right w:val="nil"/>
                  </w:tcBorders>
                  <w:tcMar>
                    <w:left w:w="28"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571,809</w:t>
                  </w:r>
                </w:p>
              </w:tc>
              <w:tc>
                <w:tcPr>
                  <w:tcW w:w="1276" w:type="dxa"/>
                  <w:tcBorders>
                    <w:top w:val="single" w:sz="2" w:space="0" w:color="auto"/>
                    <w:left w:val="nil"/>
                    <w:right w:val="nil"/>
                  </w:tcBorders>
                  <w:tcMar>
                    <w:left w:w="0"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581,215</w:t>
                  </w:r>
                </w:p>
              </w:tc>
            </w:tr>
            <w:tr w:rsidR="00871E84" w:rsidRPr="00DA4373" w:rsidTr="005D067F">
              <w:trPr>
                <w:trHeight w:val="266"/>
              </w:trPr>
              <w:tc>
                <w:tcPr>
                  <w:tcW w:w="7965" w:type="dxa"/>
                  <w:tcBorders>
                    <w:left w:val="nil"/>
                    <w:bottom w:val="single" w:sz="2"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sz w:val="18"/>
                      <w:szCs w:val="18"/>
                      <w:lang w:val="en-CA" w:eastAsia="en-CA"/>
                    </w:rPr>
                  </w:pPr>
                  <w:r w:rsidRPr="00DA4373">
                    <w:rPr>
                      <w:rFonts w:ascii="Arial" w:eastAsiaTheme="minorEastAsia" w:hAnsi="Arial" w:cs="Arial"/>
                      <w:b/>
                      <w:sz w:val="18"/>
                      <w:szCs w:val="18"/>
                      <w:lang w:val="en-CA" w:eastAsia="en-CA"/>
                    </w:rPr>
                    <w:t>Other income</w:t>
                  </w:r>
                </w:p>
              </w:tc>
              <w:tc>
                <w:tcPr>
                  <w:tcW w:w="1276" w:type="dxa"/>
                  <w:tcBorders>
                    <w:left w:val="nil"/>
                    <w:bottom w:val="single" w:sz="2" w:space="0" w:color="auto"/>
                    <w:right w:val="nil"/>
                  </w:tcBorders>
                  <w:tcMar>
                    <w:left w:w="28"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29,463</w:t>
                  </w:r>
                </w:p>
              </w:tc>
              <w:tc>
                <w:tcPr>
                  <w:tcW w:w="1276" w:type="dxa"/>
                  <w:tcBorders>
                    <w:left w:val="nil"/>
                    <w:bottom w:val="single" w:sz="2" w:space="0" w:color="auto"/>
                    <w:right w:val="nil"/>
                  </w:tcBorders>
                  <w:tcMar>
                    <w:left w:w="0"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45,104</w:t>
                  </w:r>
                </w:p>
              </w:tc>
            </w:tr>
            <w:tr w:rsidR="00871E84" w:rsidRPr="00DA4373" w:rsidTr="005D067F">
              <w:trPr>
                <w:trHeight w:val="414"/>
              </w:trPr>
              <w:tc>
                <w:tcPr>
                  <w:tcW w:w="7965" w:type="dxa"/>
                  <w:tcBorders>
                    <w:top w:val="single" w:sz="2" w:space="0" w:color="auto"/>
                    <w:left w:val="nil"/>
                    <w:right w:val="nil"/>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Operating margin</w:t>
                  </w:r>
                </w:p>
              </w:tc>
              <w:tc>
                <w:tcPr>
                  <w:tcW w:w="1276" w:type="dxa"/>
                  <w:tcBorders>
                    <w:top w:val="single" w:sz="2" w:space="0" w:color="auto"/>
                    <w:left w:val="nil"/>
                    <w:right w:val="nil"/>
                  </w:tcBorders>
                  <w:tcMar>
                    <w:left w:w="28"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601,272</w:t>
                  </w:r>
                </w:p>
              </w:tc>
              <w:tc>
                <w:tcPr>
                  <w:tcW w:w="1276" w:type="dxa"/>
                  <w:tcBorders>
                    <w:top w:val="single" w:sz="2" w:space="0" w:color="auto"/>
                    <w:left w:val="nil"/>
                    <w:right w:val="nil"/>
                  </w:tcBorders>
                  <w:tcMar>
                    <w:left w:w="0"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626,319</w:t>
                  </w:r>
                </w:p>
              </w:tc>
            </w:tr>
            <w:tr w:rsidR="00871E84" w:rsidRPr="00DA4373" w:rsidTr="005D067F">
              <w:trPr>
                <w:trHeight w:val="266"/>
              </w:trPr>
              <w:tc>
                <w:tcPr>
                  <w:tcW w:w="7965" w:type="dxa"/>
                  <w:tcBorders>
                    <w:left w:val="nil"/>
                    <w:bottom w:val="single" w:sz="4"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ind w:left="142" w:hanging="141"/>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 xml:space="preserve">   Operating expenses</w:t>
                  </w:r>
                </w:p>
              </w:tc>
              <w:tc>
                <w:tcPr>
                  <w:tcW w:w="1276" w:type="dxa"/>
                  <w:tcBorders>
                    <w:left w:val="nil"/>
                    <w:bottom w:val="single" w:sz="4" w:space="0" w:color="auto"/>
                    <w:right w:val="nil"/>
                  </w:tcBorders>
                  <w:tcMar>
                    <w:left w:w="28"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500,880</w:t>
                  </w:r>
                </w:p>
              </w:tc>
              <w:tc>
                <w:tcPr>
                  <w:tcW w:w="1276" w:type="dxa"/>
                  <w:tcBorders>
                    <w:left w:val="nil"/>
                    <w:bottom w:val="single" w:sz="4"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514,599</w:t>
                  </w:r>
                </w:p>
              </w:tc>
            </w:tr>
            <w:tr w:rsidR="00871E84" w:rsidRPr="00DA4373" w:rsidTr="005D067F">
              <w:trPr>
                <w:trHeight w:val="414"/>
              </w:trPr>
              <w:tc>
                <w:tcPr>
                  <w:tcW w:w="7965" w:type="dxa"/>
                  <w:tcBorders>
                    <w:top w:val="single" w:sz="4" w:space="0" w:color="auto"/>
                    <w:left w:val="nil"/>
                    <w:right w:val="nil"/>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Income before income taxes</w:t>
                  </w:r>
                </w:p>
              </w:tc>
              <w:tc>
                <w:tcPr>
                  <w:tcW w:w="1276" w:type="dxa"/>
                  <w:tcBorders>
                    <w:top w:val="single" w:sz="4" w:space="0" w:color="auto"/>
                    <w:left w:val="nil"/>
                    <w:right w:val="nil"/>
                  </w:tcBorders>
                  <w:tcMar>
                    <w:left w:w="28" w:type="dxa"/>
                    <w:right w:w="28" w:type="dxa"/>
                  </w:tcMar>
                  <w:vAlign w:val="center"/>
                </w:tcPr>
                <w:p w:rsidR="00871E84" w:rsidRPr="00DA4373" w:rsidRDefault="00871E84" w:rsidP="005D067F">
                  <w:pPr>
                    <w:widowControl w:val="0"/>
                    <w:tabs>
                      <w:tab w:val="right" w:pos="1259"/>
                    </w:tabs>
                    <w:autoSpaceDE w:val="0"/>
                    <w:autoSpaceDN w:val="0"/>
                    <w:adjustRightInd w:val="0"/>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100,392</w:t>
                  </w:r>
                </w:p>
              </w:tc>
              <w:tc>
                <w:tcPr>
                  <w:tcW w:w="1276" w:type="dxa"/>
                  <w:tcBorders>
                    <w:top w:val="single" w:sz="4" w:space="0" w:color="auto"/>
                    <w:left w:val="nil"/>
                    <w:right w:val="nil"/>
                  </w:tcBorders>
                  <w:tcMar>
                    <w:left w:w="0" w:type="dxa"/>
                    <w:right w:w="28" w:type="dxa"/>
                  </w:tcMar>
                  <w:vAlign w:val="center"/>
                </w:tcPr>
                <w:p w:rsidR="00871E84" w:rsidRPr="00DA4373" w:rsidRDefault="00871E84" w:rsidP="005D067F">
                  <w:pPr>
                    <w:widowControl w:val="0"/>
                    <w:tabs>
                      <w:tab w:val="right" w:pos="1259"/>
                    </w:tabs>
                    <w:autoSpaceDE w:val="0"/>
                    <w:autoSpaceDN w:val="0"/>
                    <w:adjustRightInd w:val="0"/>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111,720</w:t>
                  </w:r>
                </w:p>
              </w:tc>
            </w:tr>
            <w:tr w:rsidR="00871E84" w:rsidRPr="00DA4373" w:rsidTr="005D067F">
              <w:trPr>
                <w:trHeight w:val="266"/>
              </w:trPr>
              <w:tc>
                <w:tcPr>
                  <w:tcW w:w="7965" w:type="dxa"/>
                  <w:tcBorders>
                    <w:left w:val="nil"/>
                    <w:bottom w:val="single" w:sz="4"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Income taxes</w:t>
                  </w:r>
                </w:p>
              </w:tc>
              <w:tc>
                <w:tcPr>
                  <w:tcW w:w="1276" w:type="dxa"/>
                  <w:tcBorders>
                    <w:left w:val="nil"/>
                    <w:bottom w:val="single" w:sz="4" w:space="0" w:color="auto"/>
                    <w:right w:val="nil"/>
                  </w:tcBorders>
                  <w:tcMar>
                    <w:left w:w="28"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8,624</w:t>
                  </w:r>
                </w:p>
              </w:tc>
              <w:tc>
                <w:tcPr>
                  <w:tcW w:w="1276" w:type="dxa"/>
                  <w:tcBorders>
                    <w:left w:val="nil"/>
                    <w:bottom w:val="single" w:sz="4" w:space="0" w:color="auto"/>
                    <w:right w:val="nil"/>
                  </w:tcBorders>
                  <w:tcMar>
                    <w:left w:w="0"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10,103</w:t>
                  </w:r>
                </w:p>
              </w:tc>
            </w:tr>
            <w:tr w:rsidR="00871E84" w:rsidRPr="00DA4373" w:rsidTr="005D067F">
              <w:trPr>
                <w:trHeight w:val="414"/>
              </w:trPr>
              <w:tc>
                <w:tcPr>
                  <w:tcW w:w="7965" w:type="dxa"/>
                  <w:tcBorders>
                    <w:top w:val="single" w:sz="4" w:space="0" w:color="auto"/>
                    <w:left w:val="nil"/>
                    <w:right w:val="nil"/>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Comprehensive Income</w:t>
                  </w:r>
                </w:p>
              </w:tc>
              <w:tc>
                <w:tcPr>
                  <w:tcW w:w="1276" w:type="dxa"/>
                  <w:tcBorders>
                    <w:top w:val="single" w:sz="4" w:space="0" w:color="auto"/>
                    <w:left w:val="nil"/>
                    <w:right w:val="nil"/>
                  </w:tcBorders>
                  <w:tcMar>
                    <w:left w:w="28"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91,768</w:t>
                  </w:r>
                </w:p>
              </w:tc>
              <w:tc>
                <w:tcPr>
                  <w:tcW w:w="1276" w:type="dxa"/>
                  <w:tcBorders>
                    <w:top w:val="single" w:sz="4" w:space="0" w:color="auto"/>
                    <w:left w:val="nil"/>
                    <w:right w:val="nil"/>
                  </w:tcBorders>
                  <w:tcMar>
                    <w:left w:w="0"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101,617</w:t>
                  </w:r>
                </w:p>
              </w:tc>
            </w:tr>
            <w:tr w:rsidR="00871E84" w:rsidRPr="00DA4373" w:rsidTr="005D067F">
              <w:trPr>
                <w:trHeight w:val="266"/>
              </w:trPr>
              <w:tc>
                <w:tcPr>
                  <w:tcW w:w="7965" w:type="dxa"/>
                  <w:tcBorders>
                    <w:left w:val="nil"/>
                    <w:right w:val="nil"/>
                  </w:tcBorders>
                  <w:tcMar>
                    <w:left w:w="0" w:type="dxa"/>
                    <w:right w:w="28" w:type="dxa"/>
                  </w:tcMar>
                  <w:vAlign w:val="center"/>
                </w:tcPr>
                <w:p w:rsidR="00871E84" w:rsidRPr="00DA4373" w:rsidRDefault="00871E84" w:rsidP="005D067F">
                  <w:pPr>
                    <w:widowControl w:val="0"/>
                    <w:autoSpaceDE w:val="0"/>
                    <w:autoSpaceDN w:val="0"/>
                    <w:adjustRightInd w:val="0"/>
                    <w:ind w:left="142" w:firstLine="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Members’ equity, beginning of year</w:t>
                  </w:r>
                </w:p>
              </w:tc>
              <w:tc>
                <w:tcPr>
                  <w:tcW w:w="1276" w:type="dxa"/>
                  <w:tcBorders>
                    <w:left w:val="nil"/>
                    <w:right w:val="nil"/>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2,326,533</w:t>
                  </w:r>
                </w:p>
              </w:tc>
              <w:tc>
                <w:tcPr>
                  <w:tcW w:w="1276" w:type="dxa"/>
                  <w:tcBorders>
                    <w:left w:val="nil"/>
                    <w:right w:val="nil"/>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2,249,308</w:t>
                  </w:r>
                </w:p>
              </w:tc>
            </w:tr>
            <w:tr w:rsidR="00871E84" w:rsidRPr="00DA4373" w:rsidTr="005D067F">
              <w:trPr>
                <w:trHeight w:val="266"/>
              </w:trPr>
              <w:tc>
                <w:tcPr>
                  <w:tcW w:w="7965" w:type="dxa"/>
                  <w:tcBorders>
                    <w:left w:val="nil"/>
                    <w:right w:val="nil"/>
                  </w:tcBorders>
                  <w:tcMar>
                    <w:left w:w="0" w:type="dxa"/>
                    <w:right w:w="28" w:type="dxa"/>
                  </w:tcMar>
                  <w:vAlign w:val="center"/>
                </w:tcPr>
                <w:p w:rsidR="00871E84" w:rsidRPr="00DA4373" w:rsidRDefault="00871E84" w:rsidP="005D067F">
                  <w:pPr>
                    <w:widowControl w:val="0"/>
                    <w:autoSpaceDE w:val="0"/>
                    <w:autoSpaceDN w:val="0"/>
                    <w:adjustRightInd w:val="0"/>
                    <w:ind w:left="215" w:firstLine="2"/>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Equity share dividends</w:t>
                  </w:r>
                </w:p>
              </w:tc>
              <w:tc>
                <w:tcPr>
                  <w:tcW w:w="1276" w:type="dxa"/>
                  <w:tcBorders>
                    <w:left w:val="nil"/>
                    <w:right w:val="nil"/>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(32,443)</w:t>
                  </w:r>
                </w:p>
              </w:tc>
              <w:tc>
                <w:tcPr>
                  <w:tcW w:w="1276" w:type="dxa"/>
                  <w:tcBorders>
                    <w:left w:val="nil"/>
                    <w:right w:val="nil"/>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(31,911)</w:t>
                  </w:r>
                </w:p>
              </w:tc>
            </w:tr>
            <w:tr w:rsidR="00871E84" w:rsidRPr="00DA4373" w:rsidTr="005D067F">
              <w:trPr>
                <w:trHeight w:val="266"/>
              </w:trPr>
              <w:tc>
                <w:tcPr>
                  <w:tcW w:w="7965" w:type="dxa"/>
                  <w:tcBorders>
                    <w:left w:val="nil"/>
                    <w:bottom w:val="single" w:sz="2"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ind w:left="215" w:firstLine="2"/>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Net issuance of equity shares</w:t>
                  </w:r>
                </w:p>
              </w:tc>
              <w:tc>
                <w:tcPr>
                  <w:tcW w:w="1276" w:type="dxa"/>
                  <w:tcBorders>
                    <w:left w:val="nil"/>
                    <w:bottom w:val="single" w:sz="2" w:space="0" w:color="auto"/>
                    <w:right w:val="nil"/>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9,809</w:t>
                  </w:r>
                </w:p>
              </w:tc>
              <w:tc>
                <w:tcPr>
                  <w:tcW w:w="1276" w:type="dxa"/>
                  <w:tcBorders>
                    <w:left w:val="nil"/>
                    <w:bottom w:val="single" w:sz="2"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7,519</w:t>
                  </w:r>
                </w:p>
              </w:tc>
            </w:tr>
            <w:tr w:rsidR="00871E84" w:rsidRPr="00DA4373" w:rsidTr="005D067F">
              <w:trPr>
                <w:trHeight w:val="414"/>
              </w:trPr>
              <w:tc>
                <w:tcPr>
                  <w:tcW w:w="7965" w:type="dxa"/>
                  <w:tcBorders>
                    <w:top w:val="single" w:sz="2" w:space="0" w:color="auto"/>
                    <w:left w:val="nil"/>
                    <w:bottom w:val="single" w:sz="12"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Members’ equity, end of year</w:t>
                  </w:r>
                </w:p>
              </w:tc>
              <w:tc>
                <w:tcPr>
                  <w:tcW w:w="1276" w:type="dxa"/>
                  <w:tcBorders>
                    <w:top w:val="single" w:sz="2" w:space="0" w:color="auto"/>
                    <w:left w:val="nil"/>
                    <w:bottom w:val="single" w:sz="12" w:space="0" w:color="auto"/>
                    <w:right w:val="nil"/>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2,395,667</w:t>
                  </w:r>
                </w:p>
              </w:tc>
              <w:tc>
                <w:tcPr>
                  <w:tcW w:w="1276" w:type="dxa"/>
                  <w:tcBorders>
                    <w:top w:val="single" w:sz="2" w:space="0" w:color="auto"/>
                    <w:left w:val="nil"/>
                    <w:bottom w:val="single" w:sz="12"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2,326,533</w:t>
                  </w:r>
                </w:p>
              </w:tc>
            </w:tr>
          </w:tbl>
          <w:p w:rsidR="00871E84" w:rsidRPr="00DA4373" w:rsidRDefault="00871E84" w:rsidP="005D067F">
            <w:pPr>
              <w:widowControl w:val="0"/>
              <w:tabs>
                <w:tab w:val="left" w:pos="10348"/>
              </w:tabs>
              <w:autoSpaceDE w:val="0"/>
              <w:autoSpaceDN w:val="0"/>
              <w:adjustRightInd w:val="0"/>
              <w:jc w:val="center"/>
              <w:rPr>
                <w:rFonts w:ascii="Arial" w:eastAsiaTheme="minorEastAsia" w:hAnsi="Arial" w:cs="Arial"/>
                <w:b/>
                <w:bCs/>
                <w:sz w:val="18"/>
                <w:szCs w:val="18"/>
                <w:lang w:val="en-CA" w:eastAsia="en-CA"/>
              </w:rPr>
            </w:pPr>
            <w:r w:rsidRPr="00DA4373">
              <w:rPr>
                <w:rFonts w:ascii="Arial" w:eastAsiaTheme="minorEastAsia" w:hAnsi="Arial" w:cs="Arial"/>
                <w:b/>
                <w:bCs/>
                <w:color w:val="000000"/>
                <w:sz w:val="18"/>
                <w:szCs w:val="18"/>
                <w:lang w:val="en-CA" w:eastAsia="en-CA"/>
              </w:rPr>
              <w:br/>
            </w:r>
            <w:r w:rsidRPr="00DA4373">
              <w:rPr>
                <w:rFonts w:ascii="Arial" w:eastAsiaTheme="minorEastAsia" w:hAnsi="Arial" w:cs="Arial"/>
                <w:b/>
                <w:bCs/>
                <w:sz w:val="18"/>
                <w:szCs w:val="18"/>
                <w:lang w:val="en-CA" w:eastAsia="en-CA"/>
              </w:rPr>
              <w:t>Compensation Employees Credit Union</w:t>
            </w:r>
          </w:p>
          <w:p w:rsidR="00871E84" w:rsidRPr="00DA4373" w:rsidRDefault="00871E84" w:rsidP="005D067F">
            <w:pPr>
              <w:widowControl w:val="0"/>
              <w:tabs>
                <w:tab w:val="left" w:pos="10348"/>
              </w:tabs>
              <w:autoSpaceDE w:val="0"/>
              <w:autoSpaceDN w:val="0"/>
              <w:adjustRightInd w:val="0"/>
              <w:jc w:val="center"/>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Summarized Statement of Cash Flows</w:t>
            </w:r>
          </w:p>
          <w:p w:rsidR="00871E84" w:rsidRPr="00DA4373" w:rsidRDefault="00871E84" w:rsidP="005D067F">
            <w:pPr>
              <w:widowControl w:val="0"/>
              <w:tabs>
                <w:tab w:val="left" w:pos="10348"/>
              </w:tabs>
              <w:autoSpaceDE w:val="0"/>
              <w:autoSpaceDN w:val="0"/>
              <w:adjustRightInd w:val="0"/>
              <w:jc w:val="center"/>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December 31, 2017</w:t>
            </w:r>
            <w:r w:rsidRPr="00DA4373">
              <w:rPr>
                <w:rFonts w:ascii="Arial" w:eastAsiaTheme="minorEastAsia" w:hAnsi="Arial" w:cs="Arial"/>
                <w:b/>
                <w:bCs/>
                <w:sz w:val="18"/>
                <w:szCs w:val="18"/>
                <w:lang w:val="en-CA" w:eastAsia="en-CA"/>
              </w:rPr>
              <w:br/>
            </w:r>
          </w:p>
          <w:tbl>
            <w:tblPr>
              <w:tblW w:w="10517" w:type="dxa"/>
              <w:tblLayout w:type="fixed"/>
              <w:tblLook w:val="0000" w:firstRow="0" w:lastRow="0" w:firstColumn="0" w:lastColumn="0" w:noHBand="0" w:noVBand="0"/>
            </w:tblPr>
            <w:tblGrid>
              <w:gridCol w:w="7965"/>
              <w:gridCol w:w="1276"/>
              <w:gridCol w:w="1276"/>
            </w:tblGrid>
            <w:tr w:rsidR="00871E84" w:rsidRPr="00DA4373" w:rsidTr="005D067F">
              <w:trPr>
                <w:trHeight w:val="414"/>
              </w:trPr>
              <w:tc>
                <w:tcPr>
                  <w:tcW w:w="7965" w:type="dxa"/>
                  <w:tcBorders>
                    <w:bottom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p>
              </w:tc>
              <w:tc>
                <w:tcPr>
                  <w:tcW w:w="1276" w:type="dxa"/>
                  <w:tcBorders>
                    <w:bottom w:val="single" w:sz="2" w:space="0" w:color="auto"/>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i/>
                      <w:sz w:val="18"/>
                      <w:szCs w:val="18"/>
                      <w:lang w:val="en-CA" w:eastAsia="en-CA"/>
                    </w:rPr>
                  </w:pPr>
                  <w:r w:rsidRPr="00DA4373">
                    <w:rPr>
                      <w:rFonts w:ascii="Arial" w:eastAsiaTheme="minorEastAsia" w:hAnsi="Arial" w:cs="Arial"/>
                      <w:b/>
                      <w:bCs/>
                      <w:i/>
                      <w:sz w:val="18"/>
                      <w:szCs w:val="18"/>
                      <w:lang w:val="en-CA" w:eastAsia="en-CA"/>
                    </w:rPr>
                    <w:t>2017</w:t>
                  </w:r>
                </w:p>
              </w:tc>
              <w:tc>
                <w:tcPr>
                  <w:tcW w:w="1276" w:type="dxa"/>
                  <w:tcBorders>
                    <w:bottom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Cs/>
                      <w:i/>
                      <w:sz w:val="18"/>
                      <w:szCs w:val="18"/>
                      <w:lang w:val="en-CA" w:eastAsia="en-CA"/>
                    </w:rPr>
                  </w:pPr>
                  <w:r w:rsidRPr="00DA4373">
                    <w:rPr>
                      <w:rFonts w:ascii="Arial" w:eastAsiaTheme="minorEastAsia" w:hAnsi="Arial" w:cs="Arial"/>
                      <w:bCs/>
                      <w:i/>
                      <w:sz w:val="18"/>
                      <w:szCs w:val="18"/>
                      <w:lang w:val="en-CA" w:eastAsia="en-CA"/>
                    </w:rPr>
                    <w:t>2016</w:t>
                  </w:r>
                </w:p>
              </w:tc>
            </w:tr>
            <w:tr w:rsidR="00871E84" w:rsidRPr="00DA4373" w:rsidTr="005D067F">
              <w:trPr>
                <w:trHeight w:val="266"/>
              </w:trPr>
              <w:tc>
                <w:tcPr>
                  <w:tcW w:w="7965" w:type="dxa"/>
                  <w:tcBorders>
                    <w:top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Cash provided by (used for) the following activities</w:t>
                  </w:r>
                </w:p>
              </w:tc>
              <w:tc>
                <w:tcPr>
                  <w:tcW w:w="1276" w:type="dxa"/>
                  <w:tcBorders>
                    <w:top w:val="single" w:sz="2" w:space="0" w:color="auto"/>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p>
              </w:tc>
              <w:tc>
                <w:tcPr>
                  <w:tcW w:w="1276" w:type="dxa"/>
                  <w:tcBorders>
                    <w:top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Cs/>
                      <w:sz w:val="18"/>
                      <w:szCs w:val="18"/>
                      <w:lang w:val="en-CA" w:eastAsia="en-CA"/>
                    </w:rPr>
                  </w:pPr>
                </w:p>
              </w:tc>
            </w:tr>
            <w:tr w:rsidR="00871E84" w:rsidRPr="00DA4373" w:rsidTr="005D067F">
              <w:trPr>
                <w:trHeight w:val="266"/>
              </w:trPr>
              <w:tc>
                <w:tcPr>
                  <w:tcW w:w="7965" w:type="dxa"/>
                  <w:tcMar>
                    <w:left w:w="0" w:type="dxa"/>
                    <w:right w:w="28" w:type="dxa"/>
                  </w:tcMar>
                  <w:vAlign w:val="center"/>
                </w:tcPr>
                <w:p w:rsidR="00871E84" w:rsidRPr="00DA4373" w:rsidRDefault="00871E84" w:rsidP="005D067F">
                  <w:pPr>
                    <w:widowControl w:val="0"/>
                    <w:autoSpaceDE w:val="0"/>
                    <w:autoSpaceDN w:val="0"/>
                    <w:adjustRightInd w:val="0"/>
                    <w:ind w:left="215"/>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Operating activities</w:t>
                  </w:r>
                </w:p>
              </w:tc>
              <w:tc>
                <w:tcPr>
                  <w:tcW w:w="1276" w:type="dxa"/>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105,801</w:t>
                  </w:r>
                </w:p>
              </w:tc>
              <w:tc>
                <w:tcPr>
                  <w:tcW w:w="1276" w:type="dxa"/>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80,752</w:t>
                  </w:r>
                </w:p>
              </w:tc>
            </w:tr>
            <w:tr w:rsidR="00871E84" w:rsidRPr="00DA4373" w:rsidTr="005D067F">
              <w:trPr>
                <w:trHeight w:val="266"/>
              </w:trPr>
              <w:tc>
                <w:tcPr>
                  <w:tcW w:w="7965" w:type="dxa"/>
                  <w:tcMar>
                    <w:left w:w="0" w:type="dxa"/>
                    <w:right w:w="28" w:type="dxa"/>
                  </w:tcMar>
                  <w:vAlign w:val="center"/>
                </w:tcPr>
                <w:p w:rsidR="00871E84" w:rsidRPr="00DA4373" w:rsidRDefault="00871E84" w:rsidP="005D067F">
                  <w:pPr>
                    <w:widowControl w:val="0"/>
                    <w:autoSpaceDE w:val="0"/>
                    <w:autoSpaceDN w:val="0"/>
                    <w:adjustRightInd w:val="0"/>
                    <w:ind w:left="215"/>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Financing activities</w:t>
                  </w:r>
                </w:p>
              </w:tc>
              <w:tc>
                <w:tcPr>
                  <w:tcW w:w="1276" w:type="dxa"/>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516,369</w:t>
                  </w:r>
                </w:p>
              </w:tc>
              <w:tc>
                <w:tcPr>
                  <w:tcW w:w="1276" w:type="dxa"/>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459,589</w:t>
                  </w:r>
                </w:p>
              </w:tc>
            </w:tr>
            <w:tr w:rsidR="00871E84" w:rsidRPr="00DA4373" w:rsidTr="005D067F">
              <w:trPr>
                <w:trHeight w:val="266"/>
              </w:trPr>
              <w:tc>
                <w:tcPr>
                  <w:tcW w:w="7965" w:type="dxa"/>
                  <w:tcBorders>
                    <w:bottom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215"/>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Investing activities</w:t>
                  </w:r>
                </w:p>
              </w:tc>
              <w:tc>
                <w:tcPr>
                  <w:tcW w:w="1276" w:type="dxa"/>
                  <w:tcBorders>
                    <w:bottom w:val="single" w:sz="2" w:space="0" w:color="auto"/>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311,893</w:t>
                  </w:r>
                </w:p>
              </w:tc>
              <w:tc>
                <w:tcPr>
                  <w:tcW w:w="1276" w:type="dxa"/>
                  <w:tcBorders>
                    <w:bottom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hAnsi="Arial" w:cs="Arial"/>
                      <w:b/>
                      <w:bCs/>
                      <w:sz w:val="18"/>
                      <w:szCs w:val="18"/>
                    </w:rPr>
                    <w:t>(2,655,002)</w:t>
                  </w:r>
                </w:p>
              </w:tc>
            </w:tr>
            <w:tr w:rsidR="00871E84" w:rsidRPr="00DA4373" w:rsidTr="005D067F">
              <w:trPr>
                <w:trHeight w:val="414"/>
              </w:trPr>
              <w:tc>
                <w:tcPr>
                  <w:tcW w:w="7965" w:type="dxa"/>
                  <w:tcBorders>
                    <w:top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Increase (decrease) in cash and cash equivalents</w:t>
                  </w:r>
                </w:p>
              </w:tc>
              <w:tc>
                <w:tcPr>
                  <w:tcW w:w="1276" w:type="dxa"/>
                  <w:tcBorders>
                    <w:top w:val="single" w:sz="2" w:space="0" w:color="auto"/>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934,063</w:t>
                  </w:r>
                </w:p>
              </w:tc>
              <w:tc>
                <w:tcPr>
                  <w:tcW w:w="1276" w:type="dxa"/>
                  <w:tcBorders>
                    <w:top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hAnsi="Arial" w:cs="Arial"/>
                      <w:b/>
                      <w:bCs/>
                      <w:sz w:val="18"/>
                      <w:szCs w:val="18"/>
                    </w:rPr>
                    <w:t>(2,114,661)</w:t>
                  </w:r>
                </w:p>
              </w:tc>
            </w:tr>
            <w:tr w:rsidR="00871E84" w:rsidRPr="00DA4373" w:rsidTr="005D067F">
              <w:trPr>
                <w:trHeight w:val="414"/>
              </w:trPr>
              <w:tc>
                <w:tcPr>
                  <w:tcW w:w="7965" w:type="dxa"/>
                  <w:tcBorders>
                    <w:bottom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Cash and cash equivalents, beginning of year</w:t>
                  </w:r>
                </w:p>
              </w:tc>
              <w:tc>
                <w:tcPr>
                  <w:tcW w:w="1276" w:type="dxa"/>
                  <w:tcBorders>
                    <w:bottom w:val="single" w:sz="2" w:space="0" w:color="auto"/>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211,957</w:t>
                  </w:r>
                </w:p>
              </w:tc>
              <w:tc>
                <w:tcPr>
                  <w:tcW w:w="1276" w:type="dxa"/>
                  <w:tcBorders>
                    <w:bottom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hAnsi="Arial" w:cs="Arial"/>
                      <w:b/>
                      <w:bCs/>
                      <w:sz w:val="18"/>
                      <w:szCs w:val="18"/>
                    </w:rPr>
                    <w:t>2,326,618</w:t>
                  </w:r>
                </w:p>
              </w:tc>
            </w:tr>
            <w:tr w:rsidR="00871E84" w:rsidRPr="00DA4373" w:rsidTr="005D067F">
              <w:trPr>
                <w:trHeight w:val="414"/>
              </w:trPr>
              <w:tc>
                <w:tcPr>
                  <w:tcW w:w="7965" w:type="dxa"/>
                  <w:tcBorders>
                    <w:top w:val="single" w:sz="2" w:space="0" w:color="auto"/>
                    <w:bottom w:val="single" w:sz="1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Cash and cash equivalents, end of year</w:t>
                  </w:r>
                </w:p>
              </w:tc>
              <w:tc>
                <w:tcPr>
                  <w:tcW w:w="1276" w:type="dxa"/>
                  <w:tcBorders>
                    <w:top w:val="single" w:sz="2" w:space="0" w:color="auto"/>
                    <w:bottom w:val="single" w:sz="12" w:space="0" w:color="auto"/>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1,146,020</w:t>
                  </w:r>
                </w:p>
              </w:tc>
              <w:tc>
                <w:tcPr>
                  <w:tcW w:w="1276" w:type="dxa"/>
                  <w:tcBorders>
                    <w:top w:val="single" w:sz="2" w:space="0" w:color="auto"/>
                    <w:bottom w:val="single" w:sz="1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hAnsi="Arial" w:cs="Arial"/>
                      <w:b/>
                      <w:bCs/>
                      <w:sz w:val="18"/>
                      <w:szCs w:val="18"/>
                    </w:rPr>
                    <w:t>211,957</w:t>
                  </w:r>
                </w:p>
              </w:tc>
            </w:tr>
          </w:tbl>
          <w:p w:rsidR="00871E84" w:rsidRPr="00DA4373" w:rsidRDefault="00871E84" w:rsidP="005D067F">
            <w:pPr>
              <w:widowControl w:val="0"/>
              <w:autoSpaceDE w:val="0"/>
              <w:autoSpaceDN w:val="0"/>
              <w:adjustRightInd w:val="0"/>
              <w:rPr>
                <w:rFonts w:ascii="Arial" w:eastAsiaTheme="minorEastAsia" w:hAnsi="Arial" w:cs="Arial"/>
                <w:b/>
                <w:color w:val="000000"/>
                <w:sz w:val="18"/>
                <w:szCs w:val="18"/>
                <w:lang w:val="en-CA" w:eastAsia="en-CA"/>
              </w:rPr>
            </w:pPr>
          </w:p>
          <w:p w:rsidR="00871E84" w:rsidRPr="00DA4373" w:rsidRDefault="00871E84" w:rsidP="005D067F">
            <w:pPr>
              <w:widowControl w:val="0"/>
              <w:autoSpaceDE w:val="0"/>
              <w:autoSpaceDN w:val="0"/>
              <w:adjustRightInd w:val="0"/>
              <w:ind w:left="-142"/>
              <w:rPr>
                <w:rFonts w:ascii="Arial" w:eastAsiaTheme="minorEastAsia" w:hAnsi="Arial" w:cs="Arial"/>
                <w:b/>
                <w:bCs/>
                <w:color w:val="000000"/>
                <w:lang w:val="en-CA" w:eastAsia="en-CA"/>
              </w:rPr>
            </w:pPr>
            <w:r w:rsidRPr="00DA4373">
              <w:rPr>
                <w:rFonts w:ascii="Arial" w:eastAsiaTheme="minorEastAsia" w:hAnsi="Arial" w:cs="Arial"/>
                <w:b/>
                <w:i/>
                <w:color w:val="808080" w:themeColor="background1" w:themeShade="80"/>
                <w:sz w:val="18"/>
                <w:szCs w:val="18"/>
                <w:lang w:val="en-CA" w:eastAsia="en-CA"/>
              </w:rPr>
              <w:t>Note</w:t>
            </w:r>
            <w:r w:rsidRPr="00DA4373">
              <w:rPr>
                <w:rFonts w:ascii="Arial" w:eastAsiaTheme="minorEastAsia" w:hAnsi="Arial" w:cs="Arial"/>
                <w:i/>
                <w:color w:val="808080" w:themeColor="background1" w:themeShade="80"/>
                <w:sz w:val="18"/>
                <w:szCs w:val="18"/>
                <w:lang w:val="en-CA" w:eastAsia="en-CA"/>
              </w:rPr>
              <w:t xml:space="preserve">:  Readers are cautioned that these summarized financial statements do not include all the disclosures required for complete and fair presentation. </w:t>
            </w:r>
          </w:p>
          <w:p w:rsidR="00871E84" w:rsidRPr="00BC2D22" w:rsidRDefault="00871E84" w:rsidP="005D067F">
            <w:pPr>
              <w:widowControl w:val="0"/>
              <w:autoSpaceDE w:val="0"/>
              <w:autoSpaceDN w:val="0"/>
              <w:adjustRightInd w:val="0"/>
              <w:ind w:left="-108" w:right="312"/>
              <w:rPr>
                <w:rFonts w:ascii="Arial" w:eastAsiaTheme="minorEastAsia" w:hAnsi="Arial" w:cs="Arial"/>
                <w:b/>
                <w:bCs/>
                <w:iCs/>
                <w:color w:val="000000"/>
                <w:sz w:val="18"/>
                <w:szCs w:val="18"/>
                <w:lang w:val="en-CA" w:eastAsia="en-CA"/>
              </w:rPr>
            </w:pPr>
          </w:p>
        </w:tc>
      </w:tr>
    </w:tbl>
    <w:p w:rsidR="00871E84" w:rsidRPr="00DA4373" w:rsidRDefault="00871E84" w:rsidP="00871E84">
      <w:pPr>
        <w:widowControl w:val="0"/>
        <w:tabs>
          <w:tab w:val="left" w:pos="10348"/>
        </w:tabs>
        <w:autoSpaceDE w:val="0"/>
        <w:autoSpaceDN w:val="0"/>
        <w:adjustRightInd w:val="0"/>
        <w:jc w:val="center"/>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lastRenderedPageBreak/>
        <w:t>Compensation Employees Credit Union</w:t>
      </w:r>
    </w:p>
    <w:p w:rsidR="00871E84" w:rsidRPr="00DA4373" w:rsidRDefault="00871E84" w:rsidP="00871E84">
      <w:pPr>
        <w:widowControl w:val="0"/>
        <w:tabs>
          <w:tab w:val="left" w:pos="10348"/>
        </w:tabs>
        <w:autoSpaceDE w:val="0"/>
        <w:autoSpaceDN w:val="0"/>
        <w:adjustRightInd w:val="0"/>
        <w:jc w:val="center"/>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Summarized Statements of Comprehensive Income and Changes in Members’ Equity</w:t>
      </w:r>
    </w:p>
    <w:p w:rsidR="00871E84" w:rsidRPr="00DA4373" w:rsidRDefault="00871E84" w:rsidP="00871E84">
      <w:pPr>
        <w:widowControl w:val="0"/>
        <w:tabs>
          <w:tab w:val="left" w:pos="10348"/>
        </w:tabs>
        <w:autoSpaceDE w:val="0"/>
        <w:autoSpaceDN w:val="0"/>
        <w:adjustRightInd w:val="0"/>
        <w:jc w:val="center"/>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December 31, 2017</w:t>
      </w:r>
    </w:p>
    <w:p w:rsidR="00871E84" w:rsidRPr="00DA4373" w:rsidRDefault="00871E84" w:rsidP="00871E84">
      <w:pPr>
        <w:widowControl w:val="0"/>
        <w:autoSpaceDE w:val="0"/>
        <w:autoSpaceDN w:val="0"/>
        <w:adjustRightInd w:val="0"/>
        <w:rPr>
          <w:rFonts w:ascii="Arial" w:eastAsiaTheme="minorEastAsia" w:hAnsi="Arial" w:cs="Arial"/>
          <w:color w:val="000000"/>
          <w:sz w:val="18"/>
          <w:szCs w:val="18"/>
          <w:lang w:val="en-CA" w:eastAsia="en-CA"/>
        </w:rPr>
      </w:pPr>
    </w:p>
    <w:tbl>
      <w:tblPr>
        <w:tblW w:w="10517" w:type="dxa"/>
        <w:tblInd w:w="-142" w:type="dxa"/>
        <w:tblLayout w:type="fixed"/>
        <w:tblLook w:val="0000" w:firstRow="0" w:lastRow="0" w:firstColumn="0" w:lastColumn="0" w:noHBand="0" w:noVBand="0"/>
      </w:tblPr>
      <w:tblGrid>
        <w:gridCol w:w="7965"/>
        <w:gridCol w:w="1276"/>
        <w:gridCol w:w="1276"/>
      </w:tblGrid>
      <w:tr w:rsidR="00871E84" w:rsidRPr="00DA4373" w:rsidTr="005D067F">
        <w:trPr>
          <w:trHeight w:val="414"/>
        </w:trPr>
        <w:tc>
          <w:tcPr>
            <w:tcW w:w="7965" w:type="dxa"/>
            <w:tcBorders>
              <w:left w:val="nil"/>
              <w:bottom w:val="single" w:sz="8" w:space="0" w:color="000000"/>
              <w:right w:val="nil"/>
            </w:tcBorders>
            <w:tcMar>
              <w:left w:w="0"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sz w:val="18"/>
                <w:szCs w:val="18"/>
                <w:lang w:val="en-CA" w:eastAsia="en-CA"/>
              </w:rPr>
            </w:pPr>
          </w:p>
        </w:tc>
        <w:tc>
          <w:tcPr>
            <w:tcW w:w="1276" w:type="dxa"/>
            <w:tcBorders>
              <w:left w:val="nil"/>
              <w:bottom w:val="single" w:sz="8" w:space="0" w:color="000000"/>
              <w:right w:val="nil"/>
            </w:tcBorders>
            <w:tcMar>
              <w:left w:w="28" w:type="dxa"/>
              <w:right w:w="28" w:type="dxa"/>
            </w:tcMar>
            <w:vAlign w:val="center"/>
          </w:tcPr>
          <w:p w:rsidR="00871E84" w:rsidRPr="00DA4373" w:rsidRDefault="00871E84" w:rsidP="005D067F">
            <w:pPr>
              <w:widowControl w:val="0"/>
              <w:autoSpaceDE w:val="0"/>
              <w:autoSpaceDN w:val="0"/>
              <w:adjustRightInd w:val="0"/>
              <w:ind w:right="57"/>
              <w:jc w:val="right"/>
              <w:rPr>
                <w:rFonts w:ascii="Arial" w:eastAsiaTheme="minorEastAsia" w:hAnsi="Arial" w:cs="Arial"/>
                <w:b/>
                <w:bCs/>
                <w:i/>
                <w:iCs/>
                <w:sz w:val="18"/>
                <w:szCs w:val="18"/>
                <w:lang w:val="en-CA" w:eastAsia="en-CA"/>
              </w:rPr>
            </w:pPr>
            <w:r w:rsidRPr="00DA4373">
              <w:rPr>
                <w:rFonts w:ascii="Arial" w:eastAsiaTheme="minorEastAsia" w:hAnsi="Arial" w:cs="Arial"/>
                <w:b/>
                <w:bCs/>
                <w:i/>
                <w:iCs/>
                <w:sz w:val="18"/>
                <w:szCs w:val="18"/>
                <w:lang w:val="en-CA" w:eastAsia="en-CA"/>
              </w:rPr>
              <w:t>2017</w:t>
            </w:r>
          </w:p>
        </w:tc>
        <w:tc>
          <w:tcPr>
            <w:tcW w:w="1276" w:type="dxa"/>
            <w:tcBorders>
              <w:left w:val="nil"/>
              <w:bottom w:val="single" w:sz="8" w:space="0" w:color="000000"/>
              <w:right w:val="nil"/>
            </w:tcBorders>
            <w:tcMar>
              <w:left w:w="0" w:type="dxa"/>
              <w:right w:w="28" w:type="dxa"/>
            </w:tcMar>
            <w:vAlign w:val="center"/>
          </w:tcPr>
          <w:p w:rsidR="00871E84" w:rsidRPr="00DA4373" w:rsidRDefault="00871E84" w:rsidP="005D067F">
            <w:pPr>
              <w:widowControl w:val="0"/>
              <w:autoSpaceDE w:val="0"/>
              <w:autoSpaceDN w:val="0"/>
              <w:adjustRightInd w:val="0"/>
              <w:ind w:right="57"/>
              <w:jc w:val="right"/>
              <w:rPr>
                <w:rFonts w:ascii="Arial" w:eastAsiaTheme="minorEastAsia" w:hAnsi="Arial" w:cs="Arial"/>
                <w:i/>
                <w:iCs/>
                <w:sz w:val="18"/>
                <w:szCs w:val="18"/>
                <w:lang w:val="en-CA" w:eastAsia="en-CA"/>
              </w:rPr>
            </w:pPr>
            <w:r w:rsidRPr="00DA4373">
              <w:rPr>
                <w:rFonts w:ascii="Arial" w:eastAsiaTheme="minorEastAsia" w:hAnsi="Arial" w:cs="Arial"/>
                <w:i/>
                <w:iCs/>
                <w:sz w:val="18"/>
                <w:szCs w:val="18"/>
                <w:lang w:val="en-CA" w:eastAsia="en-CA"/>
              </w:rPr>
              <w:t>2016</w:t>
            </w:r>
          </w:p>
        </w:tc>
      </w:tr>
      <w:tr w:rsidR="00871E84" w:rsidRPr="00DA4373" w:rsidTr="005D067F">
        <w:trPr>
          <w:trHeight w:val="266"/>
        </w:trPr>
        <w:tc>
          <w:tcPr>
            <w:tcW w:w="7965" w:type="dxa"/>
            <w:tcBorders>
              <w:top w:val="single" w:sz="8" w:space="0" w:color="000000"/>
              <w:left w:val="nil"/>
              <w:right w:val="nil"/>
            </w:tcBorders>
            <w:shd w:val="clear" w:color="auto" w:fill="auto"/>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Interest income</w:t>
            </w:r>
          </w:p>
        </w:tc>
        <w:tc>
          <w:tcPr>
            <w:tcW w:w="1276" w:type="dxa"/>
            <w:tcBorders>
              <w:top w:val="single" w:sz="8" w:space="0" w:color="000000"/>
              <w:left w:val="nil"/>
              <w:right w:val="nil"/>
            </w:tcBorders>
            <w:shd w:val="clear" w:color="auto" w:fill="auto"/>
            <w:tcMar>
              <w:left w:w="28"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1,022,274</w:t>
            </w:r>
          </w:p>
        </w:tc>
        <w:tc>
          <w:tcPr>
            <w:tcW w:w="1276" w:type="dxa"/>
            <w:tcBorders>
              <w:top w:val="single" w:sz="8" w:space="0" w:color="000000"/>
              <w:left w:val="nil"/>
              <w:right w:val="nil"/>
            </w:tcBorders>
            <w:shd w:val="clear" w:color="auto" w:fill="auto"/>
            <w:tcMar>
              <w:left w:w="0"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1,025,168</w:t>
            </w:r>
          </w:p>
        </w:tc>
      </w:tr>
      <w:tr w:rsidR="00871E84" w:rsidRPr="00DA4373" w:rsidTr="005D067F">
        <w:trPr>
          <w:trHeight w:val="266"/>
        </w:trPr>
        <w:tc>
          <w:tcPr>
            <w:tcW w:w="7965" w:type="dxa"/>
            <w:tcBorders>
              <w:left w:val="nil"/>
              <w:bottom w:val="single" w:sz="2"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Interest expense</w:t>
            </w:r>
          </w:p>
        </w:tc>
        <w:tc>
          <w:tcPr>
            <w:tcW w:w="1276" w:type="dxa"/>
            <w:tcBorders>
              <w:left w:val="nil"/>
              <w:bottom w:val="single" w:sz="2" w:space="0" w:color="auto"/>
              <w:right w:val="nil"/>
            </w:tcBorders>
            <w:tcMar>
              <w:left w:w="28"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
                <w:sz w:val="18"/>
                <w:szCs w:val="18"/>
                <w:lang w:val="en-CA" w:eastAsia="en-CA"/>
              </w:rPr>
            </w:pPr>
            <w:r w:rsidRPr="00DA4373">
              <w:rPr>
                <w:rFonts w:ascii="Arial" w:eastAsiaTheme="minorEastAsia" w:hAnsi="Arial" w:cs="Arial"/>
                <w:b/>
                <w:sz w:val="18"/>
                <w:szCs w:val="18"/>
                <w:lang w:val="en-CA" w:eastAsia="en-CA"/>
              </w:rPr>
              <w:t>450,465</w:t>
            </w:r>
          </w:p>
        </w:tc>
        <w:tc>
          <w:tcPr>
            <w:tcW w:w="1276" w:type="dxa"/>
            <w:tcBorders>
              <w:left w:val="nil"/>
              <w:bottom w:val="single" w:sz="2"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sz w:val="18"/>
                <w:szCs w:val="18"/>
                <w:lang w:val="en-CA" w:eastAsia="en-CA"/>
              </w:rPr>
            </w:pPr>
            <w:r w:rsidRPr="00DA4373">
              <w:rPr>
                <w:rFonts w:ascii="Arial" w:eastAsiaTheme="minorEastAsia" w:hAnsi="Arial" w:cs="Arial"/>
                <w:sz w:val="18"/>
                <w:szCs w:val="18"/>
                <w:lang w:val="en-CA" w:eastAsia="en-CA"/>
              </w:rPr>
              <w:t>443,953</w:t>
            </w:r>
          </w:p>
        </w:tc>
      </w:tr>
      <w:tr w:rsidR="00871E84" w:rsidRPr="00DA4373" w:rsidTr="005D067F">
        <w:trPr>
          <w:trHeight w:val="414"/>
        </w:trPr>
        <w:tc>
          <w:tcPr>
            <w:tcW w:w="7965" w:type="dxa"/>
            <w:tcBorders>
              <w:top w:val="single" w:sz="2" w:space="0" w:color="auto"/>
              <w:left w:val="nil"/>
              <w:right w:val="nil"/>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 xml:space="preserve">Financial margin </w:t>
            </w:r>
          </w:p>
        </w:tc>
        <w:tc>
          <w:tcPr>
            <w:tcW w:w="1276" w:type="dxa"/>
            <w:tcBorders>
              <w:top w:val="single" w:sz="2" w:space="0" w:color="auto"/>
              <w:left w:val="nil"/>
              <w:right w:val="nil"/>
            </w:tcBorders>
            <w:tcMar>
              <w:left w:w="28"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571,809</w:t>
            </w:r>
          </w:p>
        </w:tc>
        <w:tc>
          <w:tcPr>
            <w:tcW w:w="1276" w:type="dxa"/>
            <w:tcBorders>
              <w:top w:val="single" w:sz="2" w:space="0" w:color="auto"/>
              <w:left w:val="nil"/>
              <w:right w:val="nil"/>
            </w:tcBorders>
            <w:tcMar>
              <w:left w:w="0"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581,215</w:t>
            </w:r>
          </w:p>
        </w:tc>
      </w:tr>
      <w:tr w:rsidR="00871E84" w:rsidRPr="00DA4373" w:rsidTr="005D067F">
        <w:trPr>
          <w:trHeight w:val="266"/>
        </w:trPr>
        <w:tc>
          <w:tcPr>
            <w:tcW w:w="7965" w:type="dxa"/>
            <w:tcBorders>
              <w:left w:val="nil"/>
              <w:bottom w:val="single" w:sz="2"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sz w:val="18"/>
                <w:szCs w:val="18"/>
                <w:lang w:val="en-CA" w:eastAsia="en-CA"/>
              </w:rPr>
            </w:pPr>
            <w:r w:rsidRPr="00DA4373">
              <w:rPr>
                <w:rFonts w:ascii="Arial" w:eastAsiaTheme="minorEastAsia" w:hAnsi="Arial" w:cs="Arial"/>
                <w:b/>
                <w:sz w:val="18"/>
                <w:szCs w:val="18"/>
                <w:lang w:val="en-CA" w:eastAsia="en-CA"/>
              </w:rPr>
              <w:t>Other income</w:t>
            </w:r>
          </w:p>
        </w:tc>
        <w:tc>
          <w:tcPr>
            <w:tcW w:w="1276" w:type="dxa"/>
            <w:tcBorders>
              <w:left w:val="nil"/>
              <w:bottom w:val="single" w:sz="2" w:space="0" w:color="auto"/>
              <w:right w:val="nil"/>
            </w:tcBorders>
            <w:tcMar>
              <w:left w:w="28"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29,463</w:t>
            </w:r>
          </w:p>
        </w:tc>
        <w:tc>
          <w:tcPr>
            <w:tcW w:w="1276" w:type="dxa"/>
            <w:tcBorders>
              <w:left w:val="nil"/>
              <w:bottom w:val="single" w:sz="2" w:space="0" w:color="auto"/>
              <w:right w:val="nil"/>
            </w:tcBorders>
            <w:tcMar>
              <w:left w:w="0"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45,104</w:t>
            </w:r>
          </w:p>
        </w:tc>
      </w:tr>
      <w:tr w:rsidR="00871E84" w:rsidRPr="00DA4373" w:rsidTr="005D067F">
        <w:trPr>
          <w:trHeight w:val="414"/>
        </w:trPr>
        <w:tc>
          <w:tcPr>
            <w:tcW w:w="7965" w:type="dxa"/>
            <w:tcBorders>
              <w:top w:val="single" w:sz="2" w:space="0" w:color="auto"/>
              <w:left w:val="nil"/>
              <w:right w:val="nil"/>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Operating margin</w:t>
            </w:r>
          </w:p>
        </w:tc>
        <w:tc>
          <w:tcPr>
            <w:tcW w:w="1276" w:type="dxa"/>
            <w:tcBorders>
              <w:top w:val="single" w:sz="2" w:space="0" w:color="auto"/>
              <w:left w:val="nil"/>
              <w:right w:val="nil"/>
            </w:tcBorders>
            <w:tcMar>
              <w:left w:w="28"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601,272</w:t>
            </w:r>
          </w:p>
        </w:tc>
        <w:tc>
          <w:tcPr>
            <w:tcW w:w="1276" w:type="dxa"/>
            <w:tcBorders>
              <w:top w:val="single" w:sz="2" w:space="0" w:color="auto"/>
              <w:left w:val="nil"/>
              <w:right w:val="nil"/>
            </w:tcBorders>
            <w:tcMar>
              <w:left w:w="0"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626,319</w:t>
            </w:r>
          </w:p>
        </w:tc>
      </w:tr>
      <w:tr w:rsidR="00871E84" w:rsidRPr="00DA4373" w:rsidTr="005D067F">
        <w:trPr>
          <w:trHeight w:val="266"/>
        </w:trPr>
        <w:tc>
          <w:tcPr>
            <w:tcW w:w="7965" w:type="dxa"/>
            <w:tcBorders>
              <w:left w:val="nil"/>
              <w:bottom w:val="single" w:sz="4"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ind w:left="142" w:hanging="141"/>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 xml:space="preserve">   Operating expenses</w:t>
            </w:r>
          </w:p>
        </w:tc>
        <w:tc>
          <w:tcPr>
            <w:tcW w:w="1276" w:type="dxa"/>
            <w:tcBorders>
              <w:left w:val="nil"/>
              <w:bottom w:val="single" w:sz="4" w:space="0" w:color="auto"/>
              <w:right w:val="nil"/>
            </w:tcBorders>
            <w:tcMar>
              <w:left w:w="28"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
                <w:bCs/>
                <w:color w:val="000000"/>
                <w:sz w:val="18"/>
                <w:szCs w:val="18"/>
                <w:lang w:val="en-CA" w:eastAsia="en-CA"/>
              </w:rPr>
            </w:pPr>
            <w:r w:rsidRPr="00DA4373">
              <w:rPr>
                <w:rFonts w:ascii="Arial" w:eastAsiaTheme="minorEastAsia" w:hAnsi="Arial" w:cs="Arial"/>
                <w:b/>
                <w:bCs/>
                <w:color w:val="000000"/>
                <w:sz w:val="18"/>
                <w:szCs w:val="18"/>
                <w:lang w:val="en-CA" w:eastAsia="en-CA"/>
              </w:rPr>
              <w:t>500,880</w:t>
            </w:r>
          </w:p>
        </w:tc>
        <w:tc>
          <w:tcPr>
            <w:tcW w:w="1276" w:type="dxa"/>
            <w:tcBorders>
              <w:left w:val="nil"/>
              <w:bottom w:val="single" w:sz="4"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jc w:val="right"/>
              <w:rPr>
                <w:rFonts w:ascii="Arial" w:eastAsiaTheme="minorEastAsia" w:hAnsi="Arial" w:cs="Arial"/>
                <w:bCs/>
                <w:color w:val="000000"/>
                <w:sz w:val="18"/>
                <w:szCs w:val="18"/>
                <w:lang w:val="en-CA" w:eastAsia="en-CA"/>
              </w:rPr>
            </w:pPr>
            <w:r w:rsidRPr="00DA4373">
              <w:rPr>
                <w:rFonts w:ascii="Arial" w:eastAsiaTheme="minorEastAsia" w:hAnsi="Arial" w:cs="Arial"/>
                <w:bCs/>
                <w:color w:val="000000"/>
                <w:sz w:val="18"/>
                <w:szCs w:val="18"/>
                <w:lang w:val="en-CA" w:eastAsia="en-CA"/>
              </w:rPr>
              <w:t>514,599</w:t>
            </w:r>
          </w:p>
        </w:tc>
      </w:tr>
      <w:tr w:rsidR="00871E84" w:rsidRPr="00DA4373" w:rsidTr="005D067F">
        <w:trPr>
          <w:trHeight w:val="414"/>
        </w:trPr>
        <w:tc>
          <w:tcPr>
            <w:tcW w:w="7965" w:type="dxa"/>
            <w:tcBorders>
              <w:top w:val="single" w:sz="4" w:space="0" w:color="auto"/>
              <w:left w:val="nil"/>
              <w:right w:val="nil"/>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Income before income taxes</w:t>
            </w:r>
          </w:p>
        </w:tc>
        <w:tc>
          <w:tcPr>
            <w:tcW w:w="1276" w:type="dxa"/>
            <w:tcBorders>
              <w:top w:val="single" w:sz="4" w:space="0" w:color="auto"/>
              <w:left w:val="nil"/>
              <w:right w:val="nil"/>
            </w:tcBorders>
            <w:tcMar>
              <w:left w:w="28" w:type="dxa"/>
              <w:right w:w="28" w:type="dxa"/>
            </w:tcMar>
            <w:vAlign w:val="center"/>
          </w:tcPr>
          <w:p w:rsidR="00871E84" w:rsidRPr="00DA4373" w:rsidRDefault="00871E84" w:rsidP="005D067F">
            <w:pPr>
              <w:widowControl w:val="0"/>
              <w:tabs>
                <w:tab w:val="right" w:pos="1259"/>
              </w:tabs>
              <w:autoSpaceDE w:val="0"/>
              <w:autoSpaceDN w:val="0"/>
              <w:adjustRightInd w:val="0"/>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100,392</w:t>
            </w:r>
          </w:p>
        </w:tc>
        <w:tc>
          <w:tcPr>
            <w:tcW w:w="1276" w:type="dxa"/>
            <w:tcBorders>
              <w:top w:val="single" w:sz="4" w:space="0" w:color="auto"/>
              <w:left w:val="nil"/>
              <w:right w:val="nil"/>
            </w:tcBorders>
            <w:tcMar>
              <w:left w:w="0" w:type="dxa"/>
              <w:right w:w="28" w:type="dxa"/>
            </w:tcMar>
            <w:vAlign w:val="center"/>
          </w:tcPr>
          <w:p w:rsidR="00871E84" w:rsidRPr="00DA4373" w:rsidRDefault="00871E84" w:rsidP="005D067F">
            <w:pPr>
              <w:widowControl w:val="0"/>
              <w:tabs>
                <w:tab w:val="right" w:pos="1259"/>
              </w:tabs>
              <w:autoSpaceDE w:val="0"/>
              <w:autoSpaceDN w:val="0"/>
              <w:adjustRightInd w:val="0"/>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111,720</w:t>
            </w:r>
          </w:p>
        </w:tc>
      </w:tr>
      <w:tr w:rsidR="00871E84" w:rsidRPr="00DA4373" w:rsidTr="005D067F">
        <w:trPr>
          <w:trHeight w:val="266"/>
        </w:trPr>
        <w:tc>
          <w:tcPr>
            <w:tcW w:w="7965" w:type="dxa"/>
            <w:tcBorders>
              <w:left w:val="nil"/>
              <w:bottom w:val="single" w:sz="4"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Income taxes</w:t>
            </w:r>
          </w:p>
        </w:tc>
        <w:tc>
          <w:tcPr>
            <w:tcW w:w="1276" w:type="dxa"/>
            <w:tcBorders>
              <w:left w:val="nil"/>
              <w:bottom w:val="single" w:sz="4" w:space="0" w:color="auto"/>
              <w:right w:val="nil"/>
            </w:tcBorders>
            <w:tcMar>
              <w:left w:w="28"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8,624</w:t>
            </w:r>
          </w:p>
        </w:tc>
        <w:tc>
          <w:tcPr>
            <w:tcW w:w="1276" w:type="dxa"/>
            <w:tcBorders>
              <w:left w:val="nil"/>
              <w:bottom w:val="single" w:sz="4" w:space="0" w:color="auto"/>
              <w:right w:val="nil"/>
            </w:tcBorders>
            <w:tcMar>
              <w:left w:w="0"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10,103</w:t>
            </w:r>
          </w:p>
        </w:tc>
      </w:tr>
      <w:tr w:rsidR="00871E84" w:rsidRPr="00DA4373" w:rsidTr="005D067F">
        <w:trPr>
          <w:trHeight w:val="414"/>
        </w:trPr>
        <w:tc>
          <w:tcPr>
            <w:tcW w:w="7965" w:type="dxa"/>
            <w:tcBorders>
              <w:top w:val="single" w:sz="4" w:space="0" w:color="auto"/>
              <w:left w:val="nil"/>
              <w:right w:val="nil"/>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Comprehensive Income</w:t>
            </w:r>
          </w:p>
        </w:tc>
        <w:tc>
          <w:tcPr>
            <w:tcW w:w="1276" w:type="dxa"/>
            <w:tcBorders>
              <w:top w:val="single" w:sz="4" w:space="0" w:color="auto"/>
              <w:left w:val="nil"/>
              <w:right w:val="nil"/>
            </w:tcBorders>
            <w:tcMar>
              <w:left w:w="28"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91,768</w:t>
            </w:r>
          </w:p>
        </w:tc>
        <w:tc>
          <w:tcPr>
            <w:tcW w:w="1276" w:type="dxa"/>
            <w:tcBorders>
              <w:top w:val="single" w:sz="4" w:space="0" w:color="auto"/>
              <w:left w:val="nil"/>
              <w:right w:val="nil"/>
            </w:tcBorders>
            <w:tcMar>
              <w:left w:w="0" w:type="dxa"/>
              <w:right w:w="28" w:type="dxa"/>
            </w:tcMar>
            <w:vAlign w:val="center"/>
          </w:tcPr>
          <w:p w:rsidR="00871E84" w:rsidRPr="00DA4373" w:rsidRDefault="00871E84" w:rsidP="005D067F">
            <w:pPr>
              <w:widowControl w:val="0"/>
              <w:tabs>
                <w:tab w:val="right" w:pos="1212"/>
                <w:tab w:val="left" w:pos="1238"/>
              </w:tabs>
              <w:autoSpaceDE w:val="0"/>
              <w:autoSpaceDN w:val="0"/>
              <w:adjustRightInd w:val="0"/>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101,617</w:t>
            </w:r>
          </w:p>
        </w:tc>
      </w:tr>
      <w:tr w:rsidR="00871E84" w:rsidRPr="00DA4373" w:rsidTr="005D067F">
        <w:trPr>
          <w:trHeight w:val="266"/>
        </w:trPr>
        <w:tc>
          <w:tcPr>
            <w:tcW w:w="7965" w:type="dxa"/>
            <w:tcBorders>
              <w:left w:val="nil"/>
              <w:right w:val="nil"/>
            </w:tcBorders>
            <w:tcMar>
              <w:left w:w="0" w:type="dxa"/>
              <w:right w:w="28" w:type="dxa"/>
            </w:tcMar>
            <w:vAlign w:val="center"/>
          </w:tcPr>
          <w:p w:rsidR="00871E84" w:rsidRPr="00DA4373" w:rsidRDefault="00871E84" w:rsidP="005D067F">
            <w:pPr>
              <w:widowControl w:val="0"/>
              <w:autoSpaceDE w:val="0"/>
              <w:autoSpaceDN w:val="0"/>
              <w:adjustRightInd w:val="0"/>
              <w:ind w:left="142" w:firstLine="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Members’ equity, beginning of year</w:t>
            </w:r>
          </w:p>
        </w:tc>
        <w:tc>
          <w:tcPr>
            <w:tcW w:w="1276" w:type="dxa"/>
            <w:tcBorders>
              <w:left w:val="nil"/>
              <w:right w:val="nil"/>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2,326,533</w:t>
            </w:r>
          </w:p>
        </w:tc>
        <w:tc>
          <w:tcPr>
            <w:tcW w:w="1276" w:type="dxa"/>
            <w:tcBorders>
              <w:left w:val="nil"/>
              <w:right w:val="nil"/>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2,249,308</w:t>
            </w:r>
          </w:p>
        </w:tc>
      </w:tr>
      <w:tr w:rsidR="00871E84" w:rsidRPr="00DA4373" w:rsidTr="005D067F">
        <w:trPr>
          <w:trHeight w:val="266"/>
        </w:trPr>
        <w:tc>
          <w:tcPr>
            <w:tcW w:w="7965" w:type="dxa"/>
            <w:tcBorders>
              <w:left w:val="nil"/>
              <w:right w:val="nil"/>
            </w:tcBorders>
            <w:tcMar>
              <w:left w:w="0" w:type="dxa"/>
              <w:right w:w="28" w:type="dxa"/>
            </w:tcMar>
            <w:vAlign w:val="center"/>
          </w:tcPr>
          <w:p w:rsidR="00871E84" w:rsidRPr="00DA4373" w:rsidRDefault="00871E84" w:rsidP="005D067F">
            <w:pPr>
              <w:widowControl w:val="0"/>
              <w:autoSpaceDE w:val="0"/>
              <w:autoSpaceDN w:val="0"/>
              <w:adjustRightInd w:val="0"/>
              <w:ind w:left="215" w:firstLine="2"/>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Equity share dividends</w:t>
            </w:r>
          </w:p>
        </w:tc>
        <w:tc>
          <w:tcPr>
            <w:tcW w:w="1276" w:type="dxa"/>
            <w:tcBorders>
              <w:left w:val="nil"/>
              <w:right w:val="nil"/>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(32,443)</w:t>
            </w:r>
          </w:p>
        </w:tc>
        <w:tc>
          <w:tcPr>
            <w:tcW w:w="1276" w:type="dxa"/>
            <w:tcBorders>
              <w:left w:val="nil"/>
              <w:right w:val="nil"/>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(31,911)</w:t>
            </w:r>
          </w:p>
        </w:tc>
      </w:tr>
      <w:tr w:rsidR="00871E84" w:rsidRPr="00DA4373" w:rsidTr="005D067F">
        <w:trPr>
          <w:trHeight w:val="266"/>
        </w:trPr>
        <w:tc>
          <w:tcPr>
            <w:tcW w:w="7965" w:type="dxa"/>
            <w:tcBorders>
              <w:left w:val="nil"/>
              <w:bottom w:val="single" w:sz="2"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ind w:left="215" w:firstLine="2"/>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Net issuance of equity shares</w:t>
            </w:r>
          </w:p>
        </w:tc>
        <w:tc>
          <w:tcPr>
            <w:tcW w:w="1276" w:type="dxa"/>
            <w:tcBorders>
              <w:left w:val="nil"/>
              <w:bottom w:val="single" w:sz="2" w:space="0" w:color="auto"/>
              <w:right w:val="nil"/>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9,809</w:t>
            </w:r>
          </w:p>
        </w:tc>
        <w:tc>
          <w:tcPr>
            <w:tcW w:w="1276" w:type="dxa"/>
            <w:tcBorders>
              <w:left w:val="nil"/>
              <w:bottom w:val="single" w:sz="2"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7,519</w:t>
            </w:r>
          </w:p>
        </w:tc>
      </w:tr>
      <w:tr w:rsidR="00871E84" w:rsidRPr="00DA4373" w:rsidTr="005D067F">
        <w:trPr>
          <w:trHeight w:val="414"/>
        </w:trPr>
        <w:tc>
          <w:tcPr>
            <w:tcW w:w="7965" w:type="dxa"/>
            <w:tcBorders>
              <w:top w:val="single" w:sz="2" w:space="0" w:color="auto"/>
              <w:left w:val="nil"/>
              <w:bottom w:val="single" w:sz="12"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Members’ equity, end of year</w:t>
            </w:r>
          </w:p>
        </w:tc>
        <w:tc>
          <w:tcPr>
            <w:tcW w:w="1276" w:type="dxa"/>
            <w:tcBorders>
              <w:top w:val="single" w:sz="2" w:space="0" w:color="auto"/>
              <w:left w:val="nil"/>
              <w:bottom w:val="single" w:sz="12" w:space="0" w:color="auto"/>
              <w:right w:val="nil"/>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2,395,667</w:t>
            </w:r>
          </w:p>
        </w:tc>
        <w:tc>
          <w:tcPr>
            <w:tcW w:w="1276" w:type="dxa"/>
            <w:tcBorders>
              <w:top w:val="single" w:sz="2" w:space="0" w:color="auto"/>
              <w:left w:val="nil"/>
              <w:bottom w:val="single" w:sz="12" w:space="0" w:color="auto"/>
              <w:right w:val="nil"/>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2,326,533</w:t>
            </w:r>
          </w:p>
        </w:tc>
      </w:tr>
    </w:tbl>
    <w:p w:rsidR="00871E84" w:rsidRPr="00DA4373" w:rsidRDefault="00871E84" w:rsidP="00871E84">
      <w:pPr>
        <w:widowControl w:val="0"/>
        <w:tabs>
          <w:tab w:val="left" w:pos="10348"/>
        </w:tabs>
        <w:autoSpaceDE w:val="0"/>
        <w:autoSpaceDN w:val="0"/>
        <w:adjustRightInd w:val="0"/>
        <w:jc w:val="center"/>
        <w:rPr>
          <w:rFonts w:ascii="Arial" w:eastAsiaTheme="minorEastAsia" w:hAnsi="Arial" w:cs="Arial"/>
          <w:b/>
          <w:bCs/>
          <w:sz w:val="18"/>
          <w:szCs w:val="18"/>
          <w:lang w:val="en-CA" w:eastAsia="en-CA"/>
        </w:rPr>
      </w:pPr>
      <w:r w:rsidRPr="00DA4373">
        <w:rPr>
          <w:rFonts w:ascii="Arial" w:eastAsiaTheme="minorEastAsia" w:hAnsi="Arial" w:cs="Arial"/>
          <w:b/>
          <w:bCs/>
          <w:color w:val="000000"/>
          <w:sz w:val="18"/>
          <w:szCs w:val="18"/>
          <w:lang w:val="en-CA" w:eastAsia="en-CA"/>
        </w:rPr>
        <w:br/>
      </w:r>
      <w:r w:rsidRPr="00DA4373">
        <w:rPr>
          <w:rFonts w:ascii="Arial" w:eastAsiaTheme="minorEastAsia" w:hAnsi="Arial" w:cs="Arial"/>
          <w:b/>
          <w:bCs/>
          <w:sz w:val="18"/>
          <w:szCs w:val="18"/>
          <w:lang w:val="en-CA" w:eastAsia="en-CA"/>
        </w:rPr>
        <w:t>Compensation Employees Credit Union</w:t>
      </w:r>
    </w:p>
    <w:p w:rsidR="00871E84" w:rsidRPr="00DA4373" w:rsidRDefault="00871E84" w:rsidP="00871E84">
      <w:pPr>
        <w:widowControl w:val="0"/>
        <w:tabs>
          <w:tab w:val="left" w:pos="10348"/>
        </w:tabs>
        <w:autoSpaceDE w:val="0"/>
        <w:autoSpaceDN w:val="0"/>
        <w:adjustRightInd w:val="0"/>
        <w:jc w:val="center"/>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Summarized Statement of Cash Flows</w:t>
      </w:r>
    </w:p>
    <w:p w:rsidR="00871E84" w:rsidRPr="00DA4373" w:rsidRDefault="00871E84" w:rsidP="00871E84">
      <w:pPr>
        <w:widowControl w:val="0"/>
        <w:tabs>
          <w:tab w:val="left" w:pos="10348"/>
        </w:tabs>
        <w:autoSpaceDE w:val="0"/>
        <w:autoSpaceDN w:val="0"/>
        <w:adjustRightInd w:val="0"/>
        <w:jc w:val="center"/>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December 31, 2017</w:t>
      </w:r>
      <w:r w:rsidRPr="00DA4373">
        <w:rPr>
          <w:rFonts w:ascii="Arial" w:eastAsiaTheme="minorEastAsia" w:hAnsi="Arial" w:cs="Arial"/>
          <w:b/>
          <w:bCs/>
          <w:sz w:val="18"/>
          <w:szCs w:val="18"/>
          <w:lang w:val="en-CA" w:eastAsia="en-CA"/>
        </w:rPr>
        <w:br/>
      </w:r>
    </w:p>
    <w:tbl>
      <w:tblPr>
        <w:tblW w:w="10517" w:type="dxa"/>
        <w:tblInd w:w="-142" w:type="dxa"/>
        <w:tblLayout w:type="fixed"/>
        <w:tblLook w:val="0000" w:firstRow="0" w:lastRow="0" w:firstColumn="0" w:lastColumn="0" w:noHBand="0" w:noVBand="0"/>
      </w:tblPr>
      <w:tblGrid>
        <w:gridCol w:w="7965"/>
        <w:gridCol w:w="1276"/>
        <w:gridCol w:w="1276"/>
      </w:tblGrid>
      <w:tr w:rsidR="00871E84" w:rsidRPr="00DA4373" w:rsidTr="005D067F">
        <w:trPr>
          <w:trHeight w:val="414"/>
        </w:trPr>
        <w:tc>
          <w:tcPr>
            <w:tcW w:w="7965" w:type="dxa"/>
            <w:tcBorders>
              <w:bottom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p>
        </w:tc>
        <w:tc>
          <w:tcPr>
            <w:tcW w:w="1276" w:type="dxa"/>
            <w:tcBorders>
              <w:bottom w:val="single" w:sz="2" w:space="0" w:color="auto"/>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i/>
                <w:sz w:val="18"/>
                <w:szCs w:val="18"/>
                <w:lang w:val="en-CA" w:eastAsia="en-CA"/>
              </w:rPr>
            </w:pPr>
            <w:r w:rsidRPr="00DA4373">
              <w:rPr>
                <w:rFonts w:ascii="Arial" w:eastAsiaTheme="minorEastAsia" w:hAnsi="Arial" w:cs="Arial"/>
                <w:b/>
                <w:bCs/>
                <w:i/>
                <w:sz w:val="18"/>
                <w:szCs w:val="18"/>
                <w:lang w:val="en-CA" w:eastAsia="en-CA"/>
              </w:rPr>
              <w:t>2017</w:t>
            </w:r>
          </w:p>
        </w:tc>
        <w:tc>
          <w:tcPr>
            <w:tcW w:w="1276" w:type="dxa"/>
            <w:tcBorders>
              <w:bottom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Cs/>
                <w:i/>
                <w:sz w:val="18"/>
                <w:szCs w:val="18"/>
                <w:lang w:val="en-CA" w:eastAsia="en-CA"/>
              </w:rPr>
            </w:pPr>
            <w:r w:rsidRPr="00DA4373">
              <w:rPr>
                <w:rFonts w:ascii="Arial" w:eastAsiaTheme="minorEastAsia" w:hAnsi="Arial" w:cs="Arial"/>
                <w:bCs/>
                <w:i/>
                <w:sz w:val="18"/>
                <w:szCs w:val="18"/>
                <w:lang w:val="en-CA" w:eastAsia="en-CA"/>
              </w:rPr>
              <w:t>2016</w:t>
            </w:r>
          </w:p>
        </w:tc>
      </w:tr>
      <w:tr w:rsidR="00871E84" w:rsidRPr="00DA4373" w:rsidTr="005D067F">
        <w:trPr>
          <w:trHeight w:val="266"/>
        </w:trPr>
        <w:tc>
          <w:tcPr>
            <w:tcW w:w="7965" w:type="dxa"/>
            <w:tcBorders>
              <w:top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Cash provided by (used for) the following activities</w:t>
            </w:r>
          </w:p>
        </w:tc>
        <w:tc>
          <w:tcPr>
            <w:tcW w:w="1276" w:type="dxa"/>
            <w:tcBorders>
              <w:top w:val="single" w:sz="2" w:space="0" w:color="auto"/>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p>
        </w:tc>
        <w:tc>
          <w:tcPr>
            <w:tcW w:w="1276" w:type="dxa"/>
            <w:tcBorders>
              <w:top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Cs/>
                <w:sz w:val="18"/>
                <w:szCs w:val="18"/>
                <w:lang w:val="en-CA" w:eastAsia="en-CA"/>
              </w:rPr>
            </w:pPr>
          </w:p>
        </w:tc>
      </w:tr>
      <w:tr w:rsidR="00871E84" w:rsidRPr="00DA4373" w:rsidTr="005D067F">
        <w:trPr>
          <w:trHeight w:val="266"/>
        </w:trPr>
        <w:tc>
          <w:tcPr>
            <w:tcW w:w="7965" w:type="dxa"/>
            <w:tcMar>
              <w:left w:w="0" w:type="dxa"/>
              <w:right w:w="28" w:type="dxa"/>
            </w:tcMar>
            <w:vAlign w:val="center"/>
          </w:tcPr>
          <w:p w:rsidR="00871E84" w:rsidRPr="00DA4373" w:rsidRDefault="00871E84" w:rsidP="005D067F">
            <w:pPr>
              <w:widowControl w:val="0"/>
              <w:autoSpaceDE w:val="0"/>
              <w:autoSpaceDN w:val="0"/>
              <w:adjustRightInd w:val="0"/>
              <w:ind w:left="215"/>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Operating activities</w:t>
            </w:r>
          </w:p>
        </w:tc>
        <w:tc>
          <w:tcPr>
            <w:tcW w:w="1276" w:type="dxa"/>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105,801</w:t>
            </w:r>
          </w:p>
        </w:tc>
        <w:tc>
          <w:tcPr>
            <w:tcW w:w="1276" w:type="dxa"/>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80,752</w:t>
            </w:r>
          </w:p>
        </w:tc>
      </w:tr>
      <w:tr w:rsidR="00871E84" w:rsidRPr="00DA4373" w:rsidTr="005D067F">
        <w:trPr>
          <w:trHeight w:val="266"/>
        </w:trPr>
        <w:tc>
          <w:tcPr>
            <w:tcW w:w="7965" w:type="dxa"/>
            <w:tcMar>
              <w:left w:w="0" w:type="dxa"/>
              <w:right w:w="28" w:type="dxa"/>
            </w:tcMar>
            <w:vAlign w:val="center"/>
          </w:tcPr>
          <w:p w:rsidR="00871E84" w:rsidRPr="00DA4373" w:rsidRDefault="00871E84" w:rsidP="005D067F">
            <w:pPr>
              <w:widowControl w:val="0"/>
              <w:autoSpaceDE w:val="0"/>
              <w:autoSpaceDN w:val="0"/>
              <w:adjustRightInd w:val="0"/>
              <w:ind w:left="215"/>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Financing activities</w:t>
            </w:r>
          </w:p>
        </w:tc>
        <w:tc>
          <w:tcPr>
            <w:tcW w:w="1276" w:type="dxa"/>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516,369</w:t>
            </w:r>
          </w:p>
        </w:tc>
        <w:tc>
          <w:tcPr>
            <w:tcW w:w="1276" w:type="dxa"/>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459,589</w:t>
            </w:r>
          </w:p>
        </w:tc>
      </w:tr>
      <w:tr w:rsidR="00871E84" w:rsidRPr="00DA4373" w:rsidTr="005D067F">
        <w:trPr>
          <w:trHeight w:val="266"/>
        </w:trPr>
        <w:tc>
          <w:tcPr>
            <w:tcW w:w="7965" w:type="dxa"/>
            <w:tcBorders>
              <w:bottom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215"/>
              <w:rPr>
                <w:rFonts w:ascii="Arial" w:eastAsiaTheme="minorEastAsia" w:hAnsi="Arial" w:cs="Arial"/>
                <w:bCs/>
                <w:sz w:val="18"/>
                <w:szCs w:val="18"/>
                <w:lang w:val="en-CA" w:eastAsia="en-CA"/>
              </w:rPr>
            </w:pPr>
            <w:r w:rsidRPr="00DA4373">
              <w:rPr>
                <w:rFonts w:ascii="Arial" w:eastAsiaTheme="minorEastAsia" w:hAnsi="Arial" w:cs="Arial"/>
                <w:bCs/>
                <w:sz w:val="18"/>
                <w:szCs w:val="18"/>
                <w:lang w:val="en-CA" w:eastAsia="en-CA"/>
              </w:rPr>
              <w:t>Investing activities</w:t>
            </w:r>
          </w:p>
        </w:tc>
        <w:tc>
          <w:tcPr>
            <w:tcW w:w="1276" w:type="dxa"/>
            <w:tcBorders>
              <w:bottom w:val="single" w:sz="2" w:space="0" w:color="auto"/>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311,893</w:t>
            </w:r>
          </w:p>
        </w:tc>
        <w:tc>
          <w:tcPr>
            <w:tcW w:w="1276" w:type="dxa"/>
            <w:tcBorders>
              <w:bottom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hAnsi="Arial" w:cs="Arial"/>
                <w:b/>
                <w:bCs/>
                <w:sz w:val="18"/>
                <w:szCs w:val="18"/>
              </w:rPr>
              <w:t>(2,655,002)</w:t>
            </w:r>
          </w:p>
        </w:tc>
      </w:tr>
      <w:tr w:rsidR="00871E84" w:rsidRPr="00DA4373" w:rsidTr="005D067F">
        <w:trPr>
          <w:trHeight w:val="414"/>
        </w:trPr>
        <w:tc>
          <w:tcPr>
            <w:tcW w:w="7965" w:type="dxa"/>
            <w:tcBorders>
              <w:top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Increase (decrease) in cash and cash equivalents</w:t>
            </w:r>
          </w:p>
        </w:tc>
        <w:tc>
          <w:tcPr>
            <w:tcW w:w="1276" w:type="dxa"/>
            <w:tcBorders>
              <w:top w:val="single" w:sz="2" w:space="0" w:color="auto"/>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934,063</w:t>
            </w:r>
          </w:p>
        </w:tc>
        <w:tc>
          <w:tcPr>
            <w:tcW w:w="1276" w:type="dxa"/>
            <w:tcBorders>
              <w:top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hAnsi="Arial" w:cs="Arial"/>
                <w:b/>
                <w:bCs/>
                <w:sz w:val="18"/>
                <w:szCs w:val="18"/>
              </w:rPr>
              <w:t>(2,114,661)</w:t>
            </w:r>
          </w:p>
        </w:tc>
      </w:tr>
      <w:tr w:rsidR="00871E84" w:rsidRPr="00DA4373" w:rsidTr="005D067F">
        <w:trPr>
          <w:trHeight w:val="414"/>
        </w:trPr>
        <w:tc>
          <w:tcPr>
            <w:tcW w:w="7965" w:type="dxa"/>
            <w:tcBorders>
              <w:bottom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Cash and cash equivalents, beginning of year</w:t>
            </w:r>
          </w:p>
        </w:tc>
        <w:tc>
          <w:tcPr>
            <w:tcW w:w="1276" w:type="dxa"/>
            <w:tcBorders>
              <w:bottom w:val="single" w:sz="2" w:space="0" w:color="auto"/>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211,957</w:t>
            </w:r>
          </w:p>
        </w:tc>
        <w:tc>
          <w:tcPr>
            <w:tcW w:w="1276" w:type="dxa"/>
            <w:tcBorders>
              <w:bottom w:val="single" w:sz="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hAnsi="Arial" w:cs="Arial"/>
                <w:b/>
                <w:bCs/>
                <w:sz w:val="18"/>
                <w:szCs w:val="18"/>
              </w:rPr>
              <w:t>2,326,618</w:t>
            </w:r>
          </w:p>
        </w:tc>
      </w:tr>
      <w:tr w:rsidR="00871E84" w:rsidRPr="00DA4373" w:rsidTr="005D067F">
        <w:trPr>
          <w:trHeight w:val="414"/>
        </w:trPr>
        <w:tc>
          <w:tcPr>
            <w:tcW w:w="7965" w:type="dxa"/>
            <w:tcBorders>
              <w:top w:val="single" w:sz="2" w:space="0" w:color="auto"/>
              <w:bottom w:val="single" w:sz="1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Cash and cash equivalents, end of year</w:t>
            </w:r>
          </w:p>
        </w:tc>
        <w:tc>
          <w:tcPr>
            <w:tcW w:w="1276" w:type="dxa"/>
            <w:tcBorders>
              <w:top w:val="single" w:sz="2" w:space="0" w:color="auto"/>
              <w:bottom w:val="single" w:sz="12" w:space="0" w:color="auto"/>
            </w:tcBorders>
            <w:tcMar>
              <w:left w:w="28"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eastAsiaTheme="minorEastAsia" w:hAnsi="Arial" w:cs="Arial"/>
                <w:b/>
                <w:bCs/>
                <w:sz w:val="18"/>
                <w:szCs w:val="18"/>
                <w:lang w:val="en-CA" w:eastAsia="en-CA"/>
              </w:rPr>
              <w:t>1,146,020</w:t>
            </w:r>
          </w:p>
        </w:tc>
        <w:tc>
          <w:tcPr>
            <w:tcW w:w="1276" w:type="dxa"/>
            <w:tcBorders>
              <w:top w:val="single" w:sz="2" w:space="0" w:color="auto"/>
              <w:bottom w:val="single" w:sz="12" w:space="0" w:color="auto"/>
            </w:tcBorders>
            <w:tcMar>
              <w:left w:w="0" w:type="dxa"/>
              <w:right w:w="28" w:type="dxa"/>
            </w:tcMar>
            <w:vAlign w:val="center"/>
          </w:tcPr>
          <w:p w:rsidR="00871E84" w:rsidRPr="00DA4373" w:rsidRDefault="00871E84" w:rsidP="005D067F">
            <w:pPr>
              <w:widowControl w:val="0"/>
              <w:autoSpaceDE w:val="0"/>
              <w:autoSpaceDN w:val="0"/>
              <w:adjustRightInd w:val="0"/>
              <w:ind w:left="142" w:firstLine="2"/>
              <w:jc w:val="right"/>
              <w:rPr>
                <w:rFonts w:ascii="Arial" w:eastAsiaTheme="minorEastAsia" w:hAnsi="Arial" w:cs="Arial"/>
                <w:b/>
                <w:bCs/>
                <w:sz w:val="18"/>
                <w:szCs w:val="18"/>
                <w:lang w:val="en-CA" w:eastAsia="en-CA"/>
              </w:rPr>
            </w:pPr>
            <w:r w:rsidRPr="00DA4373">
              <w:rPr>
                <w:rFonts w:ascii="Arial" w:hAnsi="Arial" w:cs="Arial"/>
                <w:b/>
                <w:bCs/>
                <w:sz w:val="18"/>
                <w:szCs w:val="18"/>
              </w:rPr>
              <w:t>211,957</w:t>
            </w:r>
          </w:p>
        </w:tc>
      </w:tr>
    </w:tbl>
    <w:p w:rsidR="00871E84" w:rsidRPr="00DA4373" w:rsidRDefault="00871E84" w:rsidP="00871E84">
      <w:pPr>
        <w:widowControl w:val="0"/>
        <w:autoSpaceDE w:val="0"/>
        <w:autoSpaceDN w:val="0"/>
        <w:adjustRightInd w:val="0"/>
        <w:rPr>
          <w:rFonts w:ascii="Arial" w:eastAsiaTheme="minorEastAsia" w:hAnsi="Arial" w:cs="Arial"/>
          <w:b/>
          <w:color w:val="000000"/>
          <w:sz w:val="18"/>
          <w:szCs w:val="18"/>
          <w:lang w:val="en-CA" w:eastAsia="en-CA"/>
        </w:rPr>
      </w:pPr>
    </w:p>
    <w:p w:rsidR="00871E84" w:rsidRPr="00DA4373" w:rsidRDefault="00871E84" w:rsidP="00871E84">
      <w:pPr>
        <w:widowControl w:val="0"/>
        <w:autoSpaceDE w:val="0"/>
        <w:autoSpaceDN w:val="0"/>
        <w:adjustRightInd w:val="0"/>
        <w:ind w:left="-142"/>
        <w:rPr>
          <w:rFonts w:ascii="Arial" w:eastAsiaTheme="minorEastAsia" w:hAnsi="Arial" w:cs="Arial"/>
          <w:b/>
          <w:bCs/>
          <w:color w:val="000000"/>
          <w:lang w:val="en-CA" w:eastAsia="en-CA"/>
        </w:rPr>
      </w:pPr>
      <w:r w:rsidRPr="00DA4373">
        <w:rPr>
          <w:rFonts w:ascii="Arial" w:eastAsiaTheme="minorEastAsia" w:hAnsi="Arial" w:cs="Arial"/>
          <w:b/>
          <w:i/>
          <w:color w:val="808080" w:themeColor="background1" w:themeShade="80"/>
          <w:sz w:val="18"/>
          <w:szCs w:val="18"/>
          <w:lang w:val="en-CA" w:eastAsia="en-CA"/>
        </w:rPr>
        <w:t>Note</w:t>
      </w:r>
      <w:r w:rsidRPr="00DA4373">
        <w:rPr>
          <w:rFonts w:ascii="Arial" w:eastAsiaTheme="minorEastAsia" w:hAnsi="Arial" w:cs="Arial"/>
          <w:i/>
          <w:color w:val="808080" w:themeColor="background1" w:themeShade="80"/>
          <w:sz w:val="18"/>
          <w:szCs w:val="18"/>
          <w:lang w:val="en-CA" w:eastAsia="en-CA"/>
        </w:rPr>
        <w:t xml:space="preserve">:  Readers are cautioned that these summarized financial statements do not include all the disclosures required for complete and fair presentation. </w:t>
      </w:r>
    </w:p>
    <w:p w:rsidR="00871E84" w:rsidRDefault="00871E84" w:rsidP="00871E84">
      <w:pPr>
        <w:rPr>
          <w:rFonts w:ascii="Verdana" w:hAnsi="Verdana"/>
          <w:b/>
          <w:sz w:val="28"/>
          <w:szCs w:val="28"/>
          <w:u w:val="single"/>
        </w:rPr>
      </w:pPr>
    </w:p>
    <w:p w:rsidR="00871E84" w:rsidRDefault="00871E84" w:rsidP="00871E84">
      <w:pPr>
        <w:rPr>
          <w:rFonts w:ascii="Verdana" w:hAnsi="Verdana"/>
          <w:b/>
          <w:sz w:val="28"/>
          <w:szCs w:val="28"/>
          <w:u w:val="single"/>
        </w:rPr>
      </w:pPr>
    </w:p>
    <w:p w:rsidR="00871E84" w:rsidRDefault="00871E84" w:rsidP="00871E84">
      <w:pPr>
        <w:rPr>
          <w:rFonts w:ascii="Verdana" w:hAnsi="Verdana"/>
          <w:b/>
          <w:sz w:val="28"/>
          <w:szCs w:val="28"/>
          <w:u w:val="single"/>
        </w:rPr>
      </w:pPr>
    </w:p>
    <w:p w:rsidR="00871E84" w:rsidRDefault="00871E84" w:rsidP="00871E84">
      <w:pPr>
        <w:rPr>
          <w:rFonts w:ascii="Verdana" w:hAnsi="Verdana"/>
          <w:b/>
          <w:sz w:val="28"/>
          <w:szCs w:val="28"/>
          <w:u w:val="single"/>
        </w:rPr>
      </w:pPr>
    </w:p>
    <w:p w:rsidR="00871E84" w:rsidRDefault="00871E84" w:rsidP="00871E84">
      <w:pPr>
        <w:rPr>
          <w:rFonts w:ascii="Verdana" w:hAnsi="Verdana"/>
          <w:b/>
          <w:sz w:val="28"/>
          <w:szCs w:val="28"/>
          <w:u w:val="single"/>
        </w:rPr>
      </w:pPr>
    </w:p>
    <w:p w:rsidR="00871E84" w:rsidRDefault="00871E84" w:rsidP="00871E84">
      <w:pPr>
        <w:rPr>
          <w:rFonts w:ascii="Verdana" w:hAnsi="Verdana"/>
          <w:b/>
          <w:sz w:val="28"/>
          <w:szCs w:val="28"/>
          <w:u w:val="single"/>
        </w:rPr>
      </w:pPr>
    </w:p>
    <w:p w:rsidR="00871E84" w:rsidRDefault="00871E84" w:rsidP="00871E84">
      <w:pPr>
        <w:rPr>
          <w:rFonts w:ascii="Verdana" w:hAnsi="Verdana"/>
          <w:b/>
          <w:sz w:val="28"/>
          <w:szCs w:val="28"/>
          <w:u w:val="single"/>
        </w:rPr>
      </w:pPr>
    </w:p>
    <w:p w:rsidR="00871E84" w:rsidRDefault="00871E84" w:rsidP="00871E84">
      <w:pPr>
        <w:rPr>
          <w:rFonts w:ascii="Verdana" w:hAnsi="Verdana"/>
          <w:b/>
          <w:sz w:val="28"/>
          <w:szCs w:val="28"/>
          <w:u w:val="single"/>
        </w:rPr>
      </w:pPr>
    </w:p>
    <w:p w:rsidR="00871E84" w:rsidRDefault="00871E84" w:rsidP="00871E84">
      <w:pPr>
        <w:rPr>
          <w:rFonts w:ascii="Verdana" w:hAnsi="Verdana"/>
          <w:b/>
          <w:sz w:val="28"/>
          <w:szCs w:val="28"/>
          <w:u w:val="single"/>
        </w:rPr>
      </w:pPr>
    </w:p>
    <w:p w:rsidR="00871E84" w:rsidRDefault="00871E84" w:rsidP="00871E84">
      <w:pPr>
        <w:rPr>
          <w:rFonts w:ascii="Verdana" w:hAnsi="Verdana"/>
          <w:b/>
          <w:sz w:val="28"/>
          <w:szCs w:val="28"/>
          <w:u w:val="single"/>
        </w:rPr>
      </w:pPr>
    </w:p>
    <w:p w:rsidR="00871E84" w:rsidRDefault="00871E84" w:rsidP="00871E84">
      <w:pPr>
        <w:rPr>
          <w:rFonts w:ascii="Verdana" w:hAnsi="Verdana"/>
          <w:b/>
          <w:sz w:val="28"/>
          <w:szCs w:val="28"/>
          <w:u w:val="single"/>
        </w:rPr>
      </w:pPr>
    </w:p>
    <w:p w:rsidR="00871E84" w:rsidRPr="00947CB3" w:rsidRDefault="00871E84" w:rsidP="00871E84">
      <w:pPr>
        <w:rPr>
          <w:rFonts w:ascii="Verdana" w:hAnsi="Verdana"/>
          <w:b/>
          <w:sz w:val="28"/>
          <w:szCs w:val="28"/>
          <w:u w:val="single"/>
        </w:rPr>
      </w:pPr>
      <w:r w:rsidRPr="00947CB3">
        <w:rPr>
          <w:rFonts w:ascii="Verdana" w:hAnsi="Verdana"/>
          <w:b/>
          <w:sz w:val="28"/>
          <w:szCs w:val="28"/>
          <w:u w:val="single"/>
        </w:rPr>
        <w:lastRenderedPageBreak/>
        <w:t xml:space="preserve">Compensation Employees Credit Union </w:t>
      </w:r>
    </w:p>
    <w:p w:rsidR="00871E84" w:rsidRPr="00947CB3" w:rsidRDefault="00871E84" w:rsidP="00871E84">
      <w:pPr>
        <w:rPr>
          <w:rFonts w:ascii="Verdana" w:hAnsi="Verdana"/>
          <w:b/>
          <w:sz w:val="28"/>
          <w:szCs w:val="28"/>
          <w:u w:val="single"/>
        </w:rPr>
      </w:pPr>
    </w:p>
    <w:p w:rsidR="00871E84" w:rsidRPr="00947CB3" w:rsidRDefault="00871E84" w:rsidP="00871E84">
      <w:pPr>
        <w:rPr>
          <w:rFonts w:ascii="Verdana" w:hAnsi="Verdana"/>
          <w:b/>
          <w:sz w:val="28"/>
          <w:szCs w:val="28"/>
          <w:u w:val="single"/>
        </w:rPr>
      </w:pPr>
      <w:r w:rsidRPr="00947CB3">
        <w:rPr>
          <w:rFonts w:ascii="Verdana" w:hAnsi="Verdana"/>
          <w:b/>
          <w:sz w:val="28"/>
          <w:szCs w:val="28"/>
          <w:u w:val="single"/>
        </w:rPr>
        <w:t>201</w:t>
      </w:r>
      <w:r>
        <w:rPr>
          <w:rFonts w:ascii="Verdana" w:hAnsi="Verdana"/>
          <w:b/>
          <w:sz w:val="28"/>
          <w:szCs w:val="28"/>
          <w:u w:val="single"/>
        </w:rPr>
        <w:t>7</w:t>
      </w:r>
      <w:r w:rsidRPr="00947CB3">
        <w:rPr>
          <w:rFonts w:ascii="Verdana" w:hAnsi="Verdana"/>
          <w:b/>
          <w:sz w:val="28"/>
          <w:szCs w:val="28"/>
          <w:u w:val="single"/>
        </w:rPr>
        <w:t xml:space="preserve"> </w:t>
      </w:r>
      <w:proofErr w:type="gramStart"/>
      <w:r w:rsidRPr="00947CB3">
        <w:rPr>
          <w:rFonts w:ascii="Verdana" w:hAnsi="Verdana"/>
          <w:b/>
          <w:sz w:val="28"/>
          <w:szCs w:val="28"/>
          <w:u w:val="single"/>
        </w:rPr>
        <w:t>Disclosure</w:t>
      </w:r>
      <w:r>
        <w:rPr>
          <w:rFonts w:ascii="Verdana" w:hAnsi="Verdana"/>
          <w:b/>
          <w:sz w:val="28"/>
          <w:szCs w:val="28"/>
          <w:u w:val="single"/>
        </w:rPr>
        <w:t xml:space="preserve">  KMP</w:t>
      </w:r>
      <w:proofErr w:type="gramEnd"/>
    </w:p>
    <w:p w:rsidR="00871E84" w:rsidRPr="00947CB3" w:rsidRDefault="00871E84" w:rsidP="00871E84">
      <w:pPr>
        <w:rPr>
          <w:rFonts w:ascii="Verdana" w:hAnsi="Verdana"/>
          <w:b/>
          <w:sz w:val="28"/>
          <w:szCs w:val="28"/>
          <w:u w:val="single"/>
        </w:rPr>
      </w:pPr>
      <w:r w:rsidRPr="00947CB3">
        <w:rPr>
          <w:rFonts w:ascii="Verdana" w:hAnsi="Verdana"/>
          <w:b/>
          <w:sz w:val="28"/>
          <w:szCs w:val="28"/>
          <w:u w:val="single"/>
        </w:rPr>
        <w:t>Directors Remuneration</w:t>
      </w:r>
      <w:r>
        <w:rPr>
          <w:rFonts w:ascii="Verdana" w:hAnsi="Verdana"/>
          <w:b/>
          <w:sz w:val="28"/>
          <w:szCs w:val="28"/>
          <w:u w:val="single"/>
        </w:rPr>
        <w:t>, Expenses &amp;</w:t>
      </w:r>
      <w:r w:rsidRPr="00947CB3">
        <w:rPr>
          <w:rFonts w:ascii="Verdana" w:hAnsi="Verdana"/>
          <w:b/>
          <w:sz w:val="28"/>
          <w:szCs w:val="28"/>
          <w:u w:val="single"/>
        </w:rPr>
        <w:t xml:space="preserve"> </w:t>
      </w:r>
      <w:r>
        <w:rPr>
          <w:rFonts w:ascii="Verdana" w:hAnsi="Verdana"/>
          <w:b/>
          <w:sz w:val="28"/>
          <w:szCs w:val="28"/>
          <w:u w:val="single"/>
        </w:rPr>
        <w:t>GM Compensation</w:t>
      </w:r>
    </w:p>
    <w:p w:rsidR="00871E84" w:rsidRPr="00947CB3" w:rsidRDefault="00871E84" w:rsidP="00871E84">
      <w:pPr>
        <w:rPr>
          <w:rFonts w:ascii="Verdana" w:hAnsi="Verdana"/>
          <w:sz w:val="28"/>
          <w:szCs w:val="28"/>
        </w:rPr>
      </w:pPr>
    </w:p>
    <w:p w:rsidR="00871E84" w:rsidRPr="00947CB3" w:rsidRDefault="00871E84" w:rsidP="00871E84">
      <w:pPr>
        <w:rPr>
          <w:rFonts w:ascii="Verdana" w:hAnsi="Verdana"/>
          <w:b/>
          <w:sz w:val="28"/>
          <w:szCs w:val="28"/>
        </w:rPr>
      </w:pPr>
      <w:r w:rsidRPr="00191A2D">
        <w:rPr>
          <w:rFonts w:ascii="Verdana" w:hAnsi="Verdana"/>
          <w:sz w:val="28"/>
          <w:szCs w:val="28"/>
        </w:rPr>
        <w:t>Director Remuneration</w:t>
      </w:r>
      <w:r>
        <w:rPr>
          <w:rFonts w:ascii="Verdana" w:hAnsi="Verdana"/>
          <w:b/>
          <w:sz w:val="28"/>
          <w:szCs w:val="28"/>
        </w:rPr>
        <w:t xml:space="preserve"> </w:t>
      </w:r>
      <w:r w:rsidRPr="0044124B">
        <w:rPr>
          <w:rFonts w:ascii="Verdana" w:hAnsi="Verdana"/>
          <w:sz w:val="28"/>
          <w:szCs w:val="28"/>
        </w:rPr>
        <w:t>(there are 7 Directors):</w:t>
      </w:r>
    </w:p>
    <w:p w:rsidR="00871E84" w:rsidRPr="00947CB3" w:rsidRDefault="00871E84" w:rsidP="00871E84">
      <w:pPr>
        <w:rPr>
          <w:rFonts w:ascii="Verdana" w:hAnsi="Verdana"/>
          <w:sz w:val="28"/>
          <w:szCs w:val="28"/>
        </w:rPr>
      </w:pPr>
    </w:p>
    <w:p w:rsidR="00871E84" w:rsidRPr="00947CB3" w:rsidRDefault="00871E84" w:rsidP="00871E84">
      <w:pPr>
        <w:pStyle w:val="ListParagraph"/>
        <w:numPr>
          <w:ilvl w:val="0"/>
          <w:numId w:val="1"/>
        </w:numPr>
        <w:spacing w:after="0"/>
        <w:rPr>
          <w:rFonts w:ascii="Verdana" w:hAnsi="Verdana"/>
          <w:sz w:val="28"/>
          <w:szCs w:val="28"/>
        </w:rPr>
      </w:pPr>
      <w:r w:rsidRPr="00947CB3">
        <w:rPr>
          <w:rFonts w:ascii="Verdana" w:hAnsi="Verdana"/>
          <w:sz w:val="28"/>
          <w:szCs w:val="28"/>
        </w:rPr>
        <w:t xml:space="preserve">Each Board member receives $100 per regular board meeting attended (max 10/year).  </w:t>
      </w:r>
    </w:p>
    <w:p w:rsidR="00871E84" w:rsidRPr="00947CB3" w:rsidRDefault="00871E84" w:rsidP="00871E84">
      <w:pPr>
        <w:pStyle w:val="ListParagraph"/>
        <w:numPr>
          <w:ilvl w:val="0"/>
          <w:numId w:val="1"/>
        </w:numPr>
        <w:spacing w:after="0"/>
        <w:rPr>
          <w:rFonts w:ascii="Verdana" w:hAnsi="Verdana"/>
          <w:sz w:val="28"/>
          <w:szCs w:val="28"/>
        </w:rPr>
      </w:pPr>
      <w:r w:rsidRPr="00947CB3">
        <w:rPr>
          <w:rFonts w:ascii="Verdana" w:hAnsi="Verdana"/>
          <w:sz w:val="28"/>
          <w:szCs w:val="28"/>
        </w:rPr>
        <w:t xml:space="preserve">In addition to the above, once per year the Board Chair receives $600; Vice Chair receives $300; Secretary receives </w:t>
      </w:r>
      <w:r>
        <w:rPr>
          <w:rFonts w:ascii="Verdana" w:hAnsi="Verdana"/>
          <w:sz w:val="28"/>
          <w:szCs w:val="28"/>
        </w:rPr>
        <w:t>$200.</w:t>
      </w:r>
      <w:r w:rsidRPr="00947CB3">
        <w:rPr>
          <w:rFonts w:ascii="Verdana" w:hAnsi="Verdana"/>
          <w:sz w:val="28"/>
          <w:szCs w:val="28"/>
        </w:rPr>
        <w:t xml:space="preserve"> </w:t>
      </w:r>
    </w:p>
    <w:p w:rsidR="00871E84" w:rsidRPr="00947CB3" w:rsidRDefault="00871E84" w:rsidP="00871E84">
      <w:pPr>
        <w:pStyle w:val="ListParagraph"/>
        <w:numPr>
          <w:ilvl w:val="0"/>
          <w:numId w:val="1"/>
        </w:numPr>
        <w:spacing w:after="0"/>
        <w:rPr>
          <w:rFonts w:ascii="Verdana" w:hAnsi="Verdana"/>
          <w:sz w:val="28"/>
          <w:szCs w:val="28"/>
        </w:rPr>
      </w:pPr>
      <w:r w:rsidRPr="00947CB3">
        <w:rPr>
          <w:rFonts w:ascii="Verdana" w:hAnsi="Verdana"/>
          <w:sz w:val="28"/>
          <w:szCs w:val="28"/>
        </w:rPr>
        <w:t>Chairs of Statutory Committees receive $100</w:t>
      </w:r>
      <w:r>
        <w:rPr>
          <w:rFonts w:ascii="Verdana" w:hAnsi="Verdana"/>
          <w:sz w:val="28"/>
          <w:szCs w:val="28"/>
        </w:rPr>
        <w:t xml:space="preserve"> once per year</w:t>
      </w:r>
      <w:r w:rsidRPr="00947CB3">
        <w:rPr>
          <w:rFonts w:ascii="Verdana" w:hAnsi="Verdana"/>
          <w:sz w:val="28"/>
          <w:szCs w:val="28"/>
        </w:rPr>
        <w:t>.</w:t>
      </w:r>
    </w:p>
    <w:p w:rsidR="00871E84" w:rsidRPr="00947CB3" w:rsidRDefault="00871E84" w:rsidP="00871E84">
      <w:pPr>
        <w:pStyle w:val="ListParagraph"/>
        <w:numPr>
          <w:ilvl w:val="0"/>
          <w:numId w:val="1"/>
        </w:numPr>
        <w:spacing w:after="0"/>
        <w:rPr>
          <w:rFonts w:ascii="Verdana" w:hAnsi="Verdana"/>
          <w:sz w:val="28"/>
          <w:szCs w:val="28"/>
        </w:rPr>
      </w:pPr>
      <w:r w:rsidRPr="00947CB3">
        <w:rPr>
          <w:rFonts w:ascii="Verdana" w:hAnsi="Verdana"/>
          <w:sz w:val="28"/>
          <w:szCs w:val="28"/>
        </w:rPr>
        <w:t>The Statutory Committee members also receive $50 per meeting</w:t>
      </w:r>
      <w:r>
        <w:rPr>
          <w:rFonts w:ascii="Verdana" w:hAnsi="Verdana"/>
          <w:sz w:val="28"/>
          <w:szCs w:val="28"/>
        </w:rPr>
        <w:t xml:space="preserve"> (to a max of 1 to 4 meetings per year depending on the committee).</w:t>
      </w:r>
      <w:r w:rsidRPr="00947CB3">
        <w:rPr>
          <w:rFonts w:ascii="Verdana" w:hAnsi="Verdana"/>
          <w:sz w:val="28"/>
          <w:szCs w:val="28"/>
        </w:rPr>
        <w:t xml:space="preserve"> </w:t>
      </w:r>
    </w:p>
    <w:p w:rsidR="00871E84" w:rsidRPr="00947CB3" w:rsidRDefault="00871E84" w:rsidP="00871E84">
      <w:pPr>
        <w:rPr>
          <w:rFonts w:ascii="Verdana" w:hAnsi="Verdana"/>
          <w:sz w:val="28"/>
          <w:szCs w:val="28"/>
        </w:rPr>
      </w:pPr>
    </w:p>
    <w:p w:rsidR="00871E84" w:rsidRPr="00191A2D" w:rsidRDefault="00871E84" w:rsidP="00871E84">
      <w:pPr>
        <w:rPr>
          <w:rFonts w:ascii="Verdana" w:hAnsi="Verdana"/>
          <w:sz w:val="28"/>
          <w:szCs w:val="28"/>
        </w:rPr>
      </w:pPr>
      <w:r w:rsidRPr="00191A2D">
        <w:rPr>
          <w:rFonts w:ascii="Verdana" w:hAnsi="Verdana"/>
          <w:sz w:val="28"/>
          <w:szCs w:val="28"/>
        </w:rPr>
        <w:t>General Manager Compensation:</w:t>
      </w:r>
    </w:p>
    <w:p w:rsidR="00871E84" w:rsidRDefault="00871E84" w:rsidP="00871E84">
      <w:pPr>
        <w:rPr>
          <w:rFonts w:ascii="Verdana" w:hAnsi="Verdana"/>
          <w:b/>
          <w:sz w:val="28"/>
          <w:szCs w:val="28"/>
        </w:rPr>
      </w:pPr>
    </w:p>
    <w:p w:rsidR="00871E84" w:rsidRPr="00191A2D" w:rsidRDefault="00871E84" w:rsidP="00871E84">
      <w:pPr>
        <w:pStyle w:val="ListParagraph"/>
        <w:numPr>
          <w:ilvl w:val="0"/>
          <w:numId w:val="2"/>
        </w:numPr>
        <w:spacing w:after="0"/>
        <w:rPr>
          <w:rFonts w:ascii="Verdana" w:hAnsi="Verdana"/>
          <w:sz w:val="28"/>
          <w:szCs w:val="28"/>
        </w:rPr>
      </w:pPr>
      <w:r w:rsidRPr="00191A2D">
        <w:rPr>
          <w:rFonts w:ascii="Verdana" w:hAnsi="Verdana"/>
          <w:sz w:val="28"/>
          <w:szCs w:val="28"/>
        </w:rPr>
        <w:t>Base pay $85,000 with up to 10% variable pay.</w:t>
      </w:r>
    </w:p>
    <w:p w:rsidR="00871E84" w:rsidRPr="00AC2B9D" w:rsidRDefault="00871E84" w:rsidP="00871E84">
      <w:pPr>
        <w:rPr>
          <w:rFonts w:ascii="Verdana" w:hAnsi="Verdana"/>
          <w:sz w:val="28"/>
          <w:szCs w:val="28"/>
        </w:rPr>
      </w:pPr>
    </w:p>
    <w:p w:rsidR="00871E84" w:rsidRDefault="00871E84" w:rsidP="00871E84">
      <w:pPr>
        <w:rPr>
          <w:rFonts w:ascii="Verdana" w:hAnsi="Verdana"/>
          <w:b/>
          <w:sz w:val="28"/>
          <w:szCs w:val="28"/>
        </w:rPr>
      </w:pPr>
    </w:p>
    <w:p w:rsidR="00871E84" w:rsidRPr="00191A2D" w:rsidRDefault="00871E84" w:rsidP="00871E84">
      <w:pPr>
        <w:rPr>
          <w:rFonts w:ascii="Verdana" w:hAnsi="Verdana"/>
          <w:b/>
          <w:sz w:val="28"/>
          <w:szCs w:val="28"/>
        </w:rPr>
      </w:pPr>
      <w:r w:rsidRPr="00191A2D">
        <w:rPr>
          <w:rFonts w:ascii="Verdana" w:hAnsi="Verdana"/>
          <w:b/>
          <w:sz w:val="28"/>
          <w:szCs w:val="28"/>
        </w:rPr>
        <w:t>In 201</w:t>
      </w:r>
      <w:r>
        <w:rPr>
          <w:rFonts w:ascii="Verdana" w:hAnsi="Verdana"/>
          <w:b/>
          <w:sz w:val="28"/>
          <w:szCs w:val="28"/>
        </w:rPr>
        <w:t>7</w:t>
      </w:r>
      <w:r w:rsidRPr="00191A2D">
        <w:rPr>
          <w:rFonts w:ascii="Verdana" w:hAnsi="Verdana"/>
          <w:b/>
          <w:sz w:val="28"/>
          <w:szCs w:val="28"/>
        </w:rPr>
        <w:t xml:space="preserve"> the total of the above paid to the Directors &amp; General</w:t>
      </w:r>
      <w:r>
        <w:rPr>
          <w:rFonts w:ascii="Verdana" w:hAnsi="Verdana"/>
          <w:b/>
          <w:sz w:val="28"/>
          <w:szCs w:val="28"/>
        </w:rPr>
        <w:t xml:space="preserve"> Manager</w:t>
      </w:r>
      <w:r w:rsidRPr="00191A2D">
        <w:rPr>
          <w:rFonts w:ascii="Verdana" w:hAnsi="Verdana"/>
          <w:b/>
          <w:sz w:val="28"/>
          <w:szCs w:val="28"/>
        </w:rPr>
        <w:t xml:space="preserve"> was $</w:t>
      </w:r>
      <w:r>
        <w:rPr>
          <w:rFonts w:ascii="Verdana" w:hAnsi="Verdana"/>
          <w:b/>
          <w:sz w:val="28"/>
          <w:szCs w:val="28"/>
        </w:rPr>
        <w:t>99,358.</w:t>
      </w:r>
    </w:p>
    <w:p w:rsidR="00871E84" w:rsidRDefault="00871E84" w:rsidP="00871E84">
      <w:pPr>
        <w:rPr>
          <w:rFonts w:ascii="Verdana" w:hAnsi="Verdana"/>
          <w:sz w:val="28"/>
          <w:szCs w:val="28"/>
        </w:rPr>
      </w:pPr>
    </w:p>
    <w:p w:rsidR="00871E84" w:rsidRDefault="00871E84" w:rsidP="00871E84">
      <w:pPr>
        <w:rPr>
          <w:rFonts w:ascii="Verdana" w:hAnsi="Verdana"/>
          <w:b/>
          <w:sz w:val="28"/>
          <w:szCs w:val="28"/>
        </w:rPr>
      </w:pPr>
    </w:p>
    <w:p w:rsidR="00871E84" w:rsidRDefault="00871E84" w:rsidP="00871E84">
      <w:pPr>
        <w:rPr>
          <w:rFonts w:ascii="Verdana" w:hAnsi="Verdana"/>
          <w:b/>
          <w:sz w:val="28"/>
          <w:szCs w:val="28"/>
        </w:rPr>
      </w:pPr>
    </w:p>
    <w:p w:rsidR="00871E84" w:rsidRPr="00FB2D31" w:rsidRDefault="00871E84" w:rsidP="00871E84">
      <w:pPr>
        <w:rPr>
          <w:rFonts w:ascii="Verdana" w:hAnsi="Verdana"/>
          <w:sz w:val="28"/>
          <w:szCs w:val="28"/>
        </w:rPr>
      </w:pPr>
      <w:r w:rsidRPr="00FB2D31">
        <w:rPr>
          <w:rFonts w:ascii="Verdana" w:hAnsi="Verdana"/>
          <w:sz w:val="28"/>
          <w:szCs w:val="28"/>
        </w:rPr>
        <w:t>Other Board Expenses</w:t>
      </w:r>
      <w:r>
        <w:rPr>
          <w:rFonts w:ascii="Verdana" w:hAnsi="Verdana"/>
          <w:sz w:val="28"/>
          <w:szCs w:val="28"/>
        </w:rPr>
        <w:t>:</w:t>
      </w:r>
    </w:p>
    <w:p w:rsidR="00871E84" w:rsidRPr="008E77C9" w:rsidRDefault="00871E84" w:rsidP="00871E84">
      <w:pPr>
        <w:rPr>
          <w:rFonts w:ascii="Verdana" w:hAnsi="Verdana"/>
          <w:b/>
          <w:sz w:val="28"/>
          <w:szCs w:val="28"/>
        </w:rPr>
      </w:pPr>
    </w:p>
    <w:p w:rsidR="00871E84" w:rsidRPr="00947CB3" w:rsidRDefault="00871E84" w:rsidP="00871E84">
      <w:pPr>
        <w:rPr>
          <w:rFonts w:ascii="Verdana" w:hAnsi="Verdana"/>
          <w:b/>
          <w:sz w:val="28"/>
          <w:szCs w:val="28"/>
        </w:rPr>
      </w:pPr>
      <w:r w:rsidRPr="00E07DDD">
        <w:rPr>
          <w:rFonts w:ascii="Verdana" w:hAnsi="Verdana"/>
          <w:sz w:val="28"/>
          <w:szCs w:val="28"/>
        </w:rPr>
        <w:t>Board meeting and training expenses</w:t>
      </w:r>
      <w:r>
        <w:rPr>
          <w:rFonts w:ascii="Verdana" w:hAnsi="Verdana"/>
          <w:sz w:val="28"/>
          <w:szCs w:val="28"/>
        </w:rPr>
        <w:t>:</w:t>
      </w:r>
      <w:r>
        <w:rPr>
          <w:rFonts w:ascii="Verdana" w:hAnsi="Verdana"/>
          <w:b/>
          <w:sz w:val="28"/>
          <w:szCs w:val="28"/>
        </w:rPr>
        <w:t xml:space="preserve"> </w:t>
      </w:r>
      <w:r w:rsidRPr="008E77C9">
        <w:rPr>
          <w:rFonts w:ascii="Verdana" w:hAnsi="Verdana"/>
          <w:sz w:val="28"/>
          <w:szCs w:val="28"/>
        </w:rPr>
        <w:t>$</w:t>
      </w:r>
      <w:r>
        <w:rPr>
          <w:rFonts w:ascii="Verdana" w:hAnsi="Verdana"/>
          <w:sz w:val="28"/>
          <w:szCs w:val="28"/>
        </w:rPr>
        <w:t>2,147.22</w:t>
      </w:r>
    </w:p>
    <w:p w:rsidR="00871E84" w:rsidRPr="00947CB3" w:rsidRDefault="00871E84" w:rsidP="00871E84">
      <w:pPr>
        <w:rPr>
          <w:rFonts w:ascii="Verdana" w:hAnsi="Verdana"/>
          <w:b/>
          <w:sz w:val="28"/>
          <w:szCs w:val="28"/>
        </w:rPr>
      </w:pPr>
    </w:p>
    <w:p w:rsidR="00871E84" w:rsidRPr="00240880" w:rsidRDefault="00871E84" w:rsidP="00871E84">
      <w:pPr>
        <w:rPr>
          <w:rFonts w:ascii="Verdana" w:hAnsi="Verdana"/>
          <w:sz w:val="24"/>
        </w:rPr>
      </w:pPr>
    </w:p>
    <w:p w:rsidR="0014189B" w:rsidRDefault="0014189B"/>
    <w:sectPr w:rsidR="0014189B" w:rsidSect="00B91A2E">
      <w:head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38" w:rsidRDefault="00092538" w:rsidP="00871E84">
      <w:r>
        <w:separator/>
      </w:r>
    </w:p>
  </w:endnote>
  <w:endnote w:type="continuationSeparator" w:id="0">
    <w:p w:rsidR="00092538" w:rsidRDefault="00092538" w:rsidP="0087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38" w:rsidRDefault="00092538" w:rsidP="00871E84">
      <w:r>
        <w:separator/>
      </w:r>
    </w:p>
  </w:footnote>
  <w:footnote w:type="continuationSeparator" w:id="0">
    <w:p w:rsidR="00092538" w:rsidRDefault="00092538" w:rsidP="0087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901226"/>
      <w:docPartObj>
        <w:docPartGallery w:val="Page Numbers (Top of Page)"/>
        <w:docPartUnique/>
      </w:docPartObj>
    </w:sdtPr>
    <w:sdtEndPr/>
    <w:sdtContent>
      <w:p w:rsidR="00B321EC" w:rsidRDefault="002D2E7F">
        <w:pPr>
          <w:pStyle w:val="Header"/>
          <w:jc w:val="right"/>
        </w:pPr>
        <w:r>
          <w:fldChar w:fldCharType="begin"/>
        </w:r>
        <w:r>
          <w:instrText xml:space="preserve"> PAGE   \* MERGEFORMAT </w:instrText>
        </w:r>
        <w:r>
          <w:fldChar w:fldCharType="separate"/>
        </w:r>
        <w:r w:rsidR="006B1498">
          <w:rPr>
            <w:noProof/>
          </w:rPr>
          <w:t>1</w:t>
        </w:r>
        <w:r>
          <w:fldChar w:fldCharType="end"/>
        </w:r>
      </w:p>
    </w:sdtContent>
  </w:sdt>
  <w:p w:rsidR="00E52D27" w:rsidRDefault="00092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8F5"/>
    <w:multiLevelType w:val="hybridMultilevel"/>
    <w:tmpl w:val="A5D43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1F03C64"/>
    <w:multiLevelType w:val="hybridMultilevel"/>
    <w:tmpl w:val="F6188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84"/>
    <w:rsid w:val="00092538"/>
    <w:rsid w:val="0014189B"/>
    <w:rsid w:val="002D2E7F"/>
    <w:rsid w:val="006B1498"/>
    <w:rsid w:val="00871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8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71E84"/>
    <w:rPr>
      <w:rFonts w:ascii="Courier New" w:hAnsi="Courier New"/>
    </w:rPr>
  </w:style>
  <w:style w:type="character" w:customStyle="1" w:styleId="PlainTextChar">
    <w:name w:val="Plain Text Char"/>
    <w:basedOn w:val="DefaultParagraphFont"/>
    <w:link w:val="PlainText"/>
    <w:rsid w:val="00871E84"/>
    <w:rPr>
      <w:rFonts w:ascii="Courier New" w:eastAsia="Times New Roman" w:hAnsi="Courier New" w:cs="Times New Roman"/>
      <w:sz w:val="20"/>
      <w:szCs w:val="20"/>
      <w:lang w:val="en-US"/>
    </w:rPr>
  </w:style>
  <w:style w:type="paragraph" w:styleId="Header">
    <w:name w:val="header"/>
    <w:basedOn w:val="Normal"/>
    <w:link w:val="HeaderChar"/>
    <w:uiPriority w:val="99"/>
    <w:rsid w:val="00871E84"/>
    <w:pPr>
      <w:tabs>
        <w:tab w:val="center" w:pos="4680"/>
        <w:tab w:val="right" w:pos="9360"/>
      </w:tabs>
    </w:pPr>
  </w:style>
  <w:style w:type="character" w:customStyle="1" w:styleId="HeaderChar">
    <w:name w:val="Header Char"/>
    <w:basedOn w:val="DefaultParagraphFont"/>
    <w:link w:val="Header"/>
    <w:uiPriority w:val="99"/>
    <w:rsid w:val="00871E8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71E84"/>
    <w:pPr>
      <w:spacing w:after="200" w:line="276" w:lineRule="auto"/>
      <w:ind w:left="720"/>
      <w:contextualSpacing/>
    </w:pPr>
    <w:rPr>
      <w:rFonts w:asciiTheme="minorHAnsi" w:eastAsiaTheme="minorHAnsi" w:hAnsiTheme="minorHAnsi" w:cstheme="minorBidi"/>
      <w:sz w:val="22"/>
      <w:szCs w:val="22"/>
      <w:lang w:val="en-CA"/>
    </w:rPr>
  </w:style>
  <w:style w:type="paragraph" w:styleId="BalloonText">
    <w:name w:val="Balloon Text"/>
    <w:basedOn w:val="Normal"/>
    <w:link w:val="BalloonTextChar"/>
    <w:uiPriority w:val="99"/>
    <w:semiHidden/>
    <w:unhideWhenUsed/>
    <w:rsid w:val="00871E84"/>
    <w:rPr>
      <w:rFonts w:ascii="Tahoma" w:hAnsi="Tahoma" w:cs="Tahoma"/>
      <w:sz w:val="16"/>
      <w:szCs w:val="16"/>
    </w:rPr>
  </w:style>
  <w:style w:type="character" w:customStyle="1" w:styleId="BalloonTextChar">
    <w:name w:val="Balloon Text Char"/>
    <w:basedOn w:val="DefaultParagraphFont"/>
    <w:link w:val="BalloonText"/>
    <w:uiPriority w:val="99"/>
    <w:semiHidden/>
    <w:rsid w:val="00871E84"/>
    <w:rPr>
      <w:rFonts w:ascii="Tahoma" w:eastAsia="Times New Roman" w:hAnsi="Tahoma" w:cs="Tahoma"/>
      <w:sz w:val="16"/>
      <w:szCs w:val="16"/>
      <w:lang w:val="en-US"/>
    </w:rPr>
  </w:style>
  <w:style w:type="paragraph" w:styleId="Footer">
    <w:name w:val="footer"/>
    <w:basedOn w:val="Normal"/>
    <w:link w:val="FooterChar"/>
    <w:uiPriority w:val="99"/>
    <w:unhideWhenUsed/>
    <w:rsid w:val="00871E84"/>
    <w:pPr>
      <w:tabs>
        <w:tab w:val="center" w:pos="4680"/>
        <w:tab w:val="right" w:pos="9360"/>
      </w:tabs>
    </w:pPr>
  </w:style>
  <w:style w:type="character" w:customStyle="1" w:styleId="FooterChar">
    <w:name w:val="Footer Char"/>
    <w:basedOn w:val="DefaultParagraphFont"/>
    <w:link w:val="Footer"/>
    <w:uiPriority w:val="99"/>
    <w:rsid w:val="00871E84"/>
    <w:rPr>
      <w:rFonts w:ascii="Times New Roman" w:eastAsia="Times New Roman" w:hAnsi="Times New Roman" w:cs="Times New Roman"/>
      <w:sz w:val="20"/>
      <w:szCs w:val="20"/>
      <w:lang w:val="en-US"/>
    </w:rPr>
  </w:style>
  <w:style w:type="character" w:styleId="Hyperlink">
    <w:name w:val="Hyperlink"/>
    <w:basedOn w:val="DefaultParagraphFont"/>
    <w:rsid w:val="00871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8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71E84"/>
    <w:rPr>
      <w:rFonts w:ascii="Courier New" w:hAnsi="Courier New"/>
    </w:rPr>
  </w:style>
  <w:style w:type="character" w:customStyle="1" w:styleId="PlainTextChar">
    <w:name w:val="Plain Text Char"/>
    <w:basedOn w:val="DefaultParagraphFont"/>
    <w:link w:val="PlainText"/>
    <w:rsid w:val="00871E84"/>
    <w:rPr>
      <w:rFonts w:ascii="Courier New" w:eastAsia="Times New Roman" w:hAnsi="Courier New" w:cs="Times New Roman"/>
      <w:sz w:val="20"/>
      <w:szCs w:val="20"/>
      <w:lang w:val="en-US"/>
    </w:rPr>
  </w:style>
  <w:style w:type="paragraph" w:styleId="Header">
    <w:name w:val="header"/>
    <w:basedOn w:val="Normal"/>
    <w:link w:val="HeaderChar"/>
    <w:uiPriority w:val="99"/>
    <w:rsid w:val="00871E84"/>
    <w:pPr>
      <w:tabs>
        <w:tab w:val="center" w:pos="4680"/>
        <w:tab w:val="right" w:pos="9360"/>
      </w:tabs>
    </w:pPr>
  </w:style>
  <w:style w:type="character" w:customStyle="1" w:styleId="HeaderChar">
    <w:name w:val="Header Char"/>
    <w:basedOn w:val="DefaultParagraphFont"/>
    <w:link w:val="Header"/>
    <w:uiPriority w:val="99"/>
    <w:rsid w:val="00871E8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71E84"/>
    <w:pPr>
      <w:spacing w:after="200" w:line="276" w:lineRule="auto"/>
      <w:ind w:left="720"/>
      <w:contextualSpacing/>
    </w:pPr>
    <w:rPr>
      <w:rFonts w:asciiTheme="minorHAnsi" w:eastAsiaTheme="minorHAnsi" w:hAnsiTheme="minorHAnsi" w:cstheme="minorBidi"/>
      <w:sz w:val="22"/>
      <w:szCs w:val="22"/>
      <w:lang w:val="en-CA"/>
    </w:rPr>
  </w:style>
  <w:style w:type="paragraph" w:styleId="BalloonText">
    <w:name w:val="Balloon Text"/>
    <w:basedOn w:val="Normal"/>
    <w:link w:val="BalloonTextChar"/>
    <w:uiPriority w:val="99"/>
    <w:semiHidden/>
    <w:unhideWhenUsed/>
    <w:rsid w:val="00871E84"/>
    <w:rPr>
      <w:rFonts w:ascii="Tahoma" w:hAnsi="Tahoma" w:cs="Tahoma"/>
      <w:sz w:val="16"/>
      <w:szCs w:val="16"/>
    </w:rPr>
  </w:style>
  <w:style w:type="character" w:customStyle="1" w:styleId="BalloonTextChar">
    <w:name w:val="Balloon Text Char"/>
    <w:basedOn w:val="DefaultParagraphFont"/>
    <w:link w:val="BalloonText"/>
    <w:uiPriority w:val="99"/>
    <w:semiHidden/>
    <w:rsid w:val="00871E84"/>
    <w:rPr>
      <w:rFonts w:ascii="Tahoma" w:eastAsia="Times New Roman" w:hAnsi="Tahoma" w:cs="Tahoma"/>
      <w:sz w:val="16"/>
      <w:szCs w:val="16"/>
      <w:lang w:val="en-US"/>
    </w:rPr>
  </w:style>
  <w:style w:type="paragraph" w:styleId="Footer">
    <w:name w:val="footer"/>
    <w:basedOn w:val="Normal"/>
    <w:link w:val="FooterChar"/>
    <w:uiPriority w:val="99"/>
    <w:unhideWhenUsed/>
    <w:rsid w:val="00871E84"/>
    <w:pPr>
      <w:tabs>
        <w:tab w:val="center" w:pos="4680"/>
        <w:tab w:val="right" w:pos="9360"/>
      </w:tabs>
    </w:pPr>
  </w:style>
  <w:style w:type="character" w:customStyle="1" w:styleId="FooterChar">
    <w:name w:val="Footer Char"/>
    <w:basedOn w:val="DefaultParagraphFont"/>
    <w:link w:val="Footer"/>
    <w:uiPriority w:val="99"/>
    <w:rsid w:val="00871E84"/>
    <w:rPr>
      <w:rFonts w:ascii="Times New Roman" w:eastAsia="Times New Roman" w:hAnsi="Times New Roman" w:cs="Times New Roman"/>
      <w:sz w:val="20"/>
      <w:szCs w:val="20"/>
      <w:lang w:val="en-US"/>
    </w:rPr>
  </w:style>
  <w:style w:type="character" w:styleId="Hyperlink">
    <w:name w:val="Hyperlink"/>
    <w:basedOn w:val="DefaultParagraphFont"/>
    <w:rsid w:val="00871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cu.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2018-04-10T16:23:00Z</dcterms:created>
  <dcterms:modified xsi:type="dcterms:W3CDTF">2018-04-10T16:23:00Z</dcterms:modified>
</cp:coreProperties>
</file>